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CE5E4" w14:textId="409AD9A9" w:rsidR="001D4A39" w:rsidRPr="00F74C7F" w:rsidRDefault="001D4A39" w:rsidP="00F74C7F">
      <w:pPr>
        <w:spacing w:after="0" w:line="276" w:lineRule="auto"/>
        <w:rPr>
          <w:rFonts w:cs="Arial"/>
          <w:b/>
          <w:bCs/>
          <w:szCs w:val="24"/>
        </w:rPr>
      </w:pPr>
      <w:r w:rsidRPr="00C65C4E">
        <w:rPr>
          <w:b/>
          <w:bCs/>
        </w:rPr>
        <w:t>IEEPCO-CG-</w:t>
      </w:r>
      <w:r w:rsidR="00005D7F" w:rsidRPr="00C65C4E">
        <w:rPr>
          <w:b/>
          <w:bCs/>
        </w:rPr>
        <w:t>41</w:t>
      </w:r>
      <w:r w:rsidRPr="00C65C4E">
        <w:rPr>
          <w:b/>
          <w:bCs/>
        </w:rPr>
        <w:t>-2025</w:t>
      </w:r>
    </w:p>
    <w:p w14:paraId="667478A0" w14:textId="77777777" w:rsidR="001D4A39" w:rsidRPr="00F74C7F" w:rsidRDefault="001D4A39" w:rsidP="00F74C7F">
      <w:pPr>
        <w:spacing w:after="0" w:line="276" w:lineRule="auto"/>
        <w:rPr>
          <w:rFonts w:cs="Arial"/>
          <w:b/>
          <w:bCs/>
          <w:szCs w:val="24"/>
        </w:rPr>
      </w:pPr>
    </w:p>
    <w:p w14:paraId="097FC882" w14:textId="79A82812" w:rsidR="006E3BCE" w:rsidRDefault="00186218" w:rsidP="00F74C7F">
      <w:pPr>
        <w:spacing w:after="0" w:line="276" w:lineRule="auto"/>
        <w:rPr>
          <w:rFonts w:cs="Arial"/>
          <w:b/>
          <w:bCs/>
          <w:szCs w:val="24"/>
        </w:rPr>
      </w:pPr>
      <w:r w:rsidRPr="00F74C7F">
        <w:rPr>
          <w:rFonts w:cs="Arial"/>
          <w:b/>
          <w:bCs/>
          <w:szCs w:val="24"/>
        </w:rPr>
        <w:t>ACUERDO DEL CONSEJO GENERAL DEL INSTITUTO ESTATAL ELECTORAL Y DE PARTICIPACIÓN CIUDADANA DE OAXACA, MEDIANTE EL CUAL SE APRUEBAN LOS LINEAMIENTOS PARA LA IMPLEMENTACIÓN DE LA OBSERVACIÓN DURANTE EL PROCESO DE REVOCACIÓN DE MANDATO DE LA PERSONA TITULAR DE LA GUBERNATURA DEL ESTADO DE OAXACA, PARA EL PERIODO CONSTITUCIONAL 2022-2028</w:t>
      </w:r>
      <w:r w:rsidR="00F57D47">
        <w:rPr>
          <w:rFonts w:cs="Arial"/>
          <w:b/>
          <w:bCs/>
          <w:szCs w:val="24"/>
        </w:rPr>
        <w:t>, ASÍ COMO LA CONVOCATORI</w:t>
      </w:r>
      <w:r w:rsidR="006D33FD">
        <w:rPr>
          <w:rFonts w:cs="Arial"/>
          <w:b/>
          <w:bCs/>
          <w:szCs w:val="24"/>
        </w:rPr>
        <w:t>A</w:t>
      </w:r>
      <w:r w:rsidR="00F57D47">
        <w:rPr>
          <w:rFonts w:cs="Arial"/>
          <w:b/>
          <w:bCs/>
          <w:szCs w:val="24"/>
        </w:rPr>
        <w:t>.</w:t>
      </w:r>
    </w:p>
    <w:p w14:paraId="377FBD85" w14:textId="77777777" w:rsidR="006D33FD" w:rsidRPr="00F74C7F" w:rsidRDefault="006D33FD" w:rsidP="00F74C7F">
      <w:pPr>
        <w:spacing w:after="0" w:line="276" w:lineRule="auto"/>
        <w:rPr>
          <w:rFonts w:cs="Arial"/>
          <w:b/>
          <w:bCs/>
          <w:szCs w:val="24"/>
        </w:rPr>
      </w:pPr>
    </w:p>
    <w:p w14:paraId="0A811C95" w14:textId="77777777" w:rsidR="001D4A39" w:rsidRPr="00F74C7F" w:rsidRDefault="001D4A39" w:rsidP="00F74C7F">
      <w:pPr>
        <w:widowControl w:val="0"/>
        <w:spacing w:after="0" w:line="276" w:lineRule="auto"/>
        <w:jc w:val="center"/>
        <w:rPr>
          <w:rFonts w:eastAsia="Arial" w:cs="Arial"/>
          <w:color w:val="000000"/>
          <w:szCs w:val="24"/>
        </w:rPr>
      </w:pPr>
      <w:r w:rsidRPr="00F74C7F">
        <w:rPr>
          <w:rFonts w:eastAsia="Arial" w:cs="Arial"/>
          <w:b/>
          <w:color w:val="000000"/>
          <w:szCs w:val="24"/>
        </w:rPr>
        <w:t xml:space="preserve">GLOSARIO </w:t>
      </w:r>
    </w:p>
    <w:p w14:paraId="1F994B7B" w14:textId="77777777" w:rsidR="001D4A39" w:rsidRPr="00F74C7F" w:rsidRDefault="001D4A39" w:rsidP="005B1818">
      <w:pPr>
        <w:widowControl w:val="0"/>
        <w:pBdr>
          <w:top w:val="nil"/>
          <w:left w:val="nil"/>
          <w:bottom w:val="nil"/>
          <w:right w:val="nil"/>
          <w:between w:val="nil"/>
        </w:pBdr>
        <w:spacing w:after="0" w:line="276" w:lineRule="auto"/>
        <w:rPr>
          <w:rFonts w:eastAsia="Arial" w:cs="Arial"/>
          <w:b/>
          <w:color w:val="000000"/>
          <w:szCs w:val="24"/>
        </w:rPr>
      </w:pPr>
    </w:p>
    <w:tbl>
      <w:tblPr>
        <w:tblStyle w:val="Tablaconcuadrcula"/>
        <w:tblW w:w="90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717"/>
        <w:gridCol w:w="6288"/>
      </w:tblGrid>
      <w:tr w:rsidR="005B1818" w:rsidRPr="007A1941" w14:paraId="1DEED261" w14:textId="77777777" w:rsidTr="00956D32">
        <w:trPr>
          <w:trHeight w:val="541"/>
        </w:trPr>
        <w:tc>
          <w:tcPr>
            <w:tcW w:w="2717" w:type="dxa"/>
          </w:tcPr>
          <w:p w14:paraId="2A7CB681" w14:textId="6B69E2E4" w:rsidR="005B1818" w:rsidRPr="007A1941" w:rsidRDefault="005B1818" w:rsidP="00281E40">
            <w:pPr>
              <w:spacing w:line="276" w:lineRule="auto"/>
              <w:rPr>
                <w:rFonts w:eastAsia="Arial" w:cs="Arial"/>
                <w:b/>
                <w:szCs w:val="24"/>
              </w:rPr>
            </w:pPr>
            <w:r w:rsidRPr="007A1941">
              <w:rPr>
                <w:rFonts w:eastAsia="Arial" w:cs="Arial"/>
                <w:b/>
                <w:szCs w:val="24"/>
              </w:rPr>
              <w:t>CD.</w:t>
            </w:r>
          </w:p>
          <w:p w14:paraId="64F6869C" w14:textId="77777777" w:rsidR="005B1818" w:rsidRPr="007A1941" w:rsidRDefault="005B1818" w:rsidP="00281E40">
            <w:pPr>
              <w:spacing w:line="276" w:lineRule="auto"/>
              <w:rPr>
                <w:rFonts w:eastAsia="Arial" w:cs="Arial"/>
                <w:b/>
                <w:szCs w:val="24"/>
              </w:rPr>
            </w:pPr>
          </w:p>
        </w:tc>
        <w:tc>
          <w:tcPr>
            <w:tcW w:w="6288" w:type="dxa"/>
          </w:tcPr>
          <w:p w14:paraId="748ABB3A" w14:textId="77777777" w:rsidR="005B1818" w:rsidRDefault="005B1818" w:rsidP="00281E40">
            <w:pPr>
              <w:spacing w:line="276" w:lineRule="auto"/>
              <w:rPr>
                <w:rFonts w:eastAsia="Arial" w:cs="Arial"/>
                <w:szCs w:val="24"/>
              </w:rPr>
            </w:pPr>
            <w:r w:rsidRPr="007A1941">
              <w:rPr>
                <w:rFonts w:eastAsia="Arial" w:cs="Arial"/>
                <w:szCs w:val="24"/>
              </w:rPr>
              <w:t>Consejos Distritales</w:t>
            </w:r>
            <w:r w:rsidR="00010001">
              <w:rPr>
                <w:rFonts w:eastAsia="Arial" w:cs="Arial"/>
                <w:szCs w:val="24"/>
              </w:rPr>
              <w:t xml:space="preserve"> </w:t>
            </w:r>
            <w:r w:rsidR="00D91E88">
              <w:rPr>
                <w:rFonts w:eastAsia="Arial" w:cs="Arial"/>
                <w:szCs w:val="24"/>
              </w:rPr>
              <w:t xml:space="preserve">que </w:t>
            </w:r>
            <w:r w:rsidR="00D91E88" w:rsidRPr="00E909A9">
              <w:rPr>
                <w:rFonts w:eastAsia="Arial" w:cs="Arial"/>
                <w:szCs w:val="24"/>
              </w:rPr>
              <w:t xml:space="preserve">instala el IEEPCO </w:t>
            </w:r>
            <w:r w:rsidR="00010001" w:rsidRPr="00E909A9">
              <w:rPr>
                <w:rFonts w:eastAsia="Arial" w:cs="Arial"/>
                <w:szCs w:val="24"/>
              </w:rPr>
              <w:t>para la Revocación de Mandato.</w:t>
            </w:r>
          </w:p>
          <w:p w14:paraId="60970D87" w14:textId="498E561F" w:rsidR="00D91E88" w:rsidRPr="007A1941" w:rsidRDefault="00D91E88" w:rsidP="00281E40">
            <w:pPr>
              <w:spacing w:line="276" w:lineRule="auto"/>
              <w:rPr>
                <w:rFonts w:eastAsia="Arial" w:cs="Arial"/>
                <w:szCs w:val="24"/>
              </w:rPr>
            </w:pPr>
          </w:p>
        </w:tc>
      </w:tr>
      <w:tr w:rsidR="005B1818" w:rsidRPr="007A1941" w14:paraId="08D95832" w14:textId="77777777" w:rsidTr="00956D32">
        <w:trPr>
          <w:trHeight w:val="541"/>
        </w:trPr>
        <w:tc>
          <w:tcPr>
            <w:tcW w:w="2717" w:type="dxa"/>
          </w:tcPr>
          <w:p w14:paraId="70E0C0C4" w14:textId="77777777" w:rsidR="005B1818" w:rsidRPr="007A1941" w:rsidRDefault="005B1818" w:rsidP="00281E40">
            <w:pPr>
              <w:spacing w:line="276" w:lineRule="auto"/>
              <w:rPr>
                <w:rFonts w:eastAsia="Arial" w:cs="Arial"/>
                <w:b/>
                <w:szCs w:val="24"/>
              </w:rPr>
            </w:pPr>
            <w:r w:rsidRPr="007A1941">
              <w:rPr>
                <w:rFonts w:eastAsia="Arial" w:cs="Arial"/>
                <w:b/>
                <w:szCs w:val="24"/>
              </w:rPr>
              <w:t>Consejo General.</w:t>
            </w:r>
          </w:p>
        </w:tc>
        <w:tc>
          <w:tcPr>
            <w:tcW w:w="6288" w:type="dxa"/>
          </w:tcPr>
          <w:p w14:paraId="79500627" w14:textId="583229FB" w:rsidR="005B1818" w:rsidRPr="007A1941" w:rsidRDefault="005B1818" w:rsidP="00281E40">
            <w:pPr>
              <w:spacing w:line="276" w:lineRule="auto"/>
              <w:rPr>
                <w:rFonts w:cs="Arial"/>
                <w:szCs w:val="24"/>
              </w:rPr>
            </w:pPr>
            <w:r w:rsidRPr="007A1941">
              <w:rPr>
                <w:rFonts w:eastAsia="Arial" w:cs="Arial"/>
                <w:szCs w:val="24"/>
              </w:rPr>
              <w:t>Consejo General del Instituto Estatal Electoral y de Participación Ciudadana de Oaxaca, que de conformidad con el artículo 35 de la LIPEEO está integrado por una Consejería Presiden</w:t>
            </w:r>
            <w:r w:rsidR="00BA48F3">
              <w:rPr>
                <w:rFonts w:eastAsia="Arial" w:cs="Arial"/>
                <w:szCs w:val="24"/>
              </w:rPr>
              <w:t>ta</w:t>
            </w:r>
            <w:r w:rsidRPr="007A1941">
              <w:rPr>
                <w:rFonts w:eastAsia="Arial" w:cs="Arial"/>
                <w:szCs w:val="24"/>
              </w:rPr>
              <w:t xml:space="preserve">, seis Consejerías Electorales, una Secretaría Ejecutiva y una representación por cada partido político con registro nacional y local. </w:t>
            </w:r>
          </w:p>
          <w:p w14:paraId="0E08F630" w14:textId="77777777" w:rsidR="005B1818" w:rsidRPr="007A1941" w:rsidRDefault="005B1818" w:rsidP="00281E40">
            <w:pPr>
              <w:spacing w:line="276" w:lineRule="auto"/>
              <w:rPr>
                <w:rFonts w:eastAsia="Arial" w:cs="Arial"/>
                <w:szCs w:val="24"/>
              </w:rPr>
            </w:pPr>
          </w:p>
        </w:tc>
      </w:tr>
      <w:tr w:rsidR="005B1818" w:rsidRPr="007A1941" w14:paraId="16F9FB09" w14:textId="77777777" w:rsidTr="00956D32">
        <w:trPr>
          <w:trHeight w:val="541"/>
        </w:trPr>
        <w:tc>
          <w:tcPr>
            <w:tcW w:w="2717" w:type="dxa"/>
          </w:tcPr>
          <w:p w14:paraId="362A98B5" w14:textId="77777777" w:rsidR="005B1818" w:rsidRPr="007A1941" w:rsidRDefault="005B1818" w:rsidP="00281E40">
            <w:pPr>
              <w:spacing w:line="276" w:lineRule="auto"/>
              <w:rPr>
                <w:rFonts w:eastAsia="Arial" w:cs="Arial"/>
                <w:b/>
                <w:szCs w:val="24"/>
              </w:rPr>
            </w:pPr>
            <w:r w:rsidRPr="007A1941">
              <w:rPr>
                <w:rFonts w:eastAsia="Arial" w:cs="Arial"/>
                <w:b/>
                <w:szCs w:val="24"/>
              </w:rPr>
              <w:t>Constitución Federal.</w:t>
            </w:r>
          </w:p>
        </w:tc>
        <w:tc>
          <w:tcPr>
            <w:tcW w:w="6288" w:type="dxa"/>
          </w:tcPr>
          <w:p w14:paraId="1B313318" w14:textId="7991A49F" w:rsidR="005B1818" w:rsidRPr="007A1941" w:rsidRDefault="005B1818" w:rsidP="00281E40">
            <w:pPr>
              <w:spacing w:line="276" w:lineRule="auto"/>
              <w:rPr>
                <w:rFonts w:eastAsia="Arial" w:cs="Arial"/>
                <w:szCs w:val="24"/>
              </w:rPr>
            </w:pPr>
            <w:r w:rsidRPr="007A1941">
              <w:rPr>
                <w:rFonts w:eastAsia="Arial" w:cs="Arial"/>
                <w:szCs w:val="24"/>
              </w:rPr>
              <w:t>Constitución</w:t>
            </w:r>
            <w:r w:rsidRPr="007A1941">
              <w:rPr>
                <w:rFonts w:eastAsia="Arial" w:cs="Arial"/>
                <w:szCs w:val="24"/>
              </w:rPr>
              <w:tab/>
              <w:t>Política</w:t>
            </w:r>
            <w:r w:rsidRPr="007A1941">
              <w:rPr>
                <w:rFonts w:eastAsia="Arial" w:cs="Arial"/>
                <w:szCs w:val="24"/>
              </w:rPr>
              <w:tab/>
              <w:t>de</w:t>
            </w:r>
            <w:r w:rsidRPr="007A1941">
              <w:rPr>
                <w:rFonts w:eastAsia="Arial" w:cs="Arial"/>
                <w:szCs w:val="24"/>
              </w:rPr>
              <w:tab/>
              <w:t>los</w:t>
            </w:r>
            <w:r w:rsidRPr="007A1941">
              <w:rPr>
                <w:rFonts w:eastAsia="Arial" w:cs="Arial"/>
                <w:szCs w:val="24"/>
              </w:rPr>
              <w:tab/>
              <w:t>Estados Unidos Mexicanos</w:t>
            </w:r>
            <w:r w:rsidR="001B0BEA">
              <w:rPr>
                <w:rFonts w:eastAsia="Arial" w:cs="Arial"/>
                <w:szCs w:val="24"/>
              </w:rPr>
              <w:t>.</w:t>
            </w:r>
            <w:r w:rsidRPr="007A1941">
              <w:rPr>
                <w:rStyle w:val="Refdenotaalpie"/>
                <w:rFonts w:eastAsia="Arial" w:cs="Arial"/>
                <w:szCs w:val="24"/>
              </w:rPr>
              <w:footnoteReference w:id="1"/>
            </w:r>
          </w:p>
          <w:p w14:paraId="4981E34E" w14:textId="77777777" w:rsidR="005B1818" w:rsidRPr="007A1941" w:rsidRDefault="005B1818" w:rsidP="00281E40">
            <w:pPr>
              <w:spacing w:line="276" w:lineRule="auto"/>
              <w:rPr>
                <w:rFonts w:eastAsia="Arial" w:cs="Arial"/>
                <w:szCs w:val="24"/>
              </w:rPr>
            </w:pPr>
          </w:p>
        </w:tc>
      </w:tr>
      <w:tr w:rsidR="005B1818" w:rsidRPr="007A1941" w14:paraId="4D83632E" w14:textId="77777777" w:rsidTr="00956D32">
        <w:trPr>
          <w:trHeight w:val="541"/>
        </w:trPr>
        <w:tc>
          <w:tcPr>
            <w:tcW w:w="2717" w:type="dxa"/>
          </w:tcPr>
          <w:p w14:paraId="0F2037A1" w14:textId="77777777" w:rsidR="005B1818" w:rsidRPr="007A1941" w:rsidRDefault="005B1818" w:rsidP="00281E40">
            <w:pPr>
              <w:spacing w:line="276" w:lineRule="auto"/>
              <w:rPr>
                <w:rFonts w:eastAsia="Arial" w:cs="Arial"/>
                <w:b/>
                <w:szCs w:val="24"/>
              </w:rPr>
            </w:pPr>
            <w:r w:rsidRPr="007A1941">
              <w:rPr>
                <w:rFonts w:eastAsia="Arial" w:cs="Arial"/>
                <w:b/>
                <w:szCs w:val="24"/>
              </w:rPr>
              <w:t>Constitución Local.</w:t>
            </w:r>
          </w:p>
        </w:tc>
        <w:tc>
          <w:tcPr>
            <w:tcW w:w="6288" w:type="dxa"/>
          </w:tcPr>
          <w:p w14:paraId="6202C72B" w14:textId="457D3307" w:rsidR="005B1818" w:rsidRPr="007A1941" w:rsidRDefault="005B1818" w:rsidP="00281E40">
            <w:pPr>
              <w:spacing w:line="276" w:lineRule="auto"/>
              <w:rPr>
                <w:rFonts w:eastAsia="Arial" w:cs="Arial"/>
                <w:szCs w:val="24"/>
              </w:rPr>
            </w:pPr>
            <w:r w:rsidRPr="007A1941">
              <w:rPr>
                <w:rFonts w:eastAsia="Arial" w:cs="Arial"/>
                <w:szCs w:val="24"/>
              </w:rPr>
              <w:t>Constitución Política del Estado Libre y Soberano de Oaxaca</w:t>
            </w:r>
            <w:r w:rsidR="001B0BEA">
              <w:rPr>
                <w:rFonts w:eastAsia="Arial" w:cs="Arial"/>
                <w:szCs w:val="24"/>
              </w:rPr>
              <w:t>.</w:t>
            </w:r>
            <w:r w:rsidRPr="007A1941">
              <w:rPr>
                <w:rStyle w:val="Refdenotaalpie"/>
                <w:rFonts w:eastAsia="Arial" w:cs="Arial"/>
                <w:szCs w:val="24"/>
              </w:rPr>
              <w:footnoteReference w:id="2"/>
            </w:r>
          </w:p>
          <w:p w14:paraId="1F9FB8DB" w14:textId="77777777" w:rsidR="005B1818" w:rsidRPr="007A1941" w:rsidRDefault="005B1818" w:rsidP="00281E40">
            <w:pPr>
              <w:spacing w:line="276" w:lineRule="auto"/>
              <w:rPr>
                <w:rFonts w:eastAsia="Arial" w:cs="Arial"/>
                <w:szCs w:val="24"/>
              </w:rPr>
            </w:pPr>
          </w:p>
        </w:tc>
      </w:tr>
      <w:tr w:rsidR="00BC5A1F" w:rsidRPr="007A1941" w14:paraId="0157BF2F" w14:textId="77777777" w:rsidTr="00956D32">
        <w:trPr>
          <w:trHeight w:val="541"/>
        </w:trPr>
        <w:tc>
          <w:tcPr>
            <w:tcW w:w="2717" w:type="dxa"/>
          </w:tcPr>
          <w:p w14:paraId="4986C6A5" w14:textId="3ED8EAE7" w:rsidR="00BC5A1F" w:rsidRPr="002311CE" w:rsidRDefault="00BC5A1F" w:rsidP="00281E40">
            <w:pPr>
              <w:spacing w:line="276" w:lineRule="auto"/>
              <w:rPr>
                <w:rFonts w:eastAsia="Arial" w:cs="Arial"/>
                <w:b/>
                <w:szCs w:val="24"/>
              </w:rPr>
            </w:pPr>
            <w:r w:rsidRPr="002311CE">
              <w:rPr>
                <w:rFonts w:eastAsia="Arial" w:cs="Arial"/>
                <w:b/>
                <w:szCs w:val="24"/>
              </w:rPr>
              <w:t>Convenio INE.</w:t>
            </w:r>
          </w:p>
        </w:tc>
        <w:tc>
          <w:tcPr>
            <w:tcW w:w="6288" w:type="dxa"/>
          </w:tcPr>
          <w:p w14:paraId="5903E042" w14:textId="2866C2DB" w:rsidR="00BC5A1F" w:rsidRPr="002311CE" w:rsidRDefault="00BC5A1F" w:rsidP="00281E40">
            <w:pPr>
              <w:spacing w:line="276" w:lineRule="auto"/>
              <w:rPr>
                <w:rFonts w:cs="Arial"/>
              </w:rPr>
            </w:pPr>
            <w:r w:rsidRPr="002311CE">
              <w:rPr>
                <w:rFonts w:cs="Arial"/>
              </w:rPr>
              <w:t xml:space="preserve">Convenio general de coordinación y colaboración suscrito por este Instituto en conjunto con el INE, con el propósito de establecer las bases de coordinación que permitan hacer efectiva la organización del proceso de participación ciudadana relativo a la </w:t>
            </w:r>
            <w:r w:rsidR="00FB4AAE" w:rsidRPr="002311CE">
              <w:rPr>
                <w:rFonts w:cs="Arial"/>
              </w:rPr>
              <w:t>R</w:t>
            </w:r>
            <w:r w:rsidRPr="002311CE">
              <w:rPr>
                <w:rFonts w:cs="Arial"/>
              </w:rPr>
              <w:t xml:space="preserve">evocación de </w:t>
            </w:r>
            <w:r w:rsidR="00C05D72" w:rsidRPr="002311CE">
              <w:rPr>
                <w:rFonts w:cs="Arial"/>
              </w:rPr>
              <w:t>M</w:t>
            </w:r>
            <w:r w:rsidRPr="002311CE">
              <w:rPr>
                <w:rFonts w:cs="Arial"/>
              </w:rPr>
              <w:t>andato del titular del poder ejecutivo del estado de Oaxaca 2026</w:t>
            </w:r>
            <w:r w:rsidR="005D5A08" w:rsidRPr="002311CE">
              <w:rPr>
                <w:rFonts w:cs="Arial"/>
              </w:rPr>
              <w:t>.</w:t>
            </w:r>
          </w:p>
          <w:p w14:paraId="527F8680" w14:textId="2342E97B" w:rsidR="00BC5A1F" w:rsidRPr="002311CE" w:rsidRDefault="00BC5A1F" w:rsidP="00281E40">
            <w:pPr>
              <w:spacing w:line="276" w:lineRule="auto"/>
              <w:rPr>
                <w:rFonts w:eastAsia="Arial" w:cs="Arial"/>
                <w:szCs w:val="24"/>
              </w:rPr>
            </w:pPr>
          </w:p>
        </w:tc>
      </w:tr>
      <w:tr w:rsidR="005B1818" w:rsidRPr="007A1941" w14:paraId="2AC20309" w14:textId="77777777" w:rsidTr="00956D32">
        <w:trPr>
          <w:trHeight w:val="541"/>
        </w:trPr>
        <w:tc>
          <w:tcPr>
            <w:tcW w:w="2717" w:type="dxa"/>
          </w:tcPr>
          <w:p w14:paraId="4E0D75ED" w14:textId="4E7D26F8" w:rsidR="005B1818" w:rsidRPr="002311CE" w:rsidRDefault="005B1818" w:rsidP="00281E40">
            <w:pPr>
              <w:spacing w:line="276" w:lineRule="auto"/>
              <w:rPr>
                <w:rFonts w:eastAsia="Arial" w:cs="Arial"/>
                <w:b/>
                <w:szCs w:val="24"/>
              </w:rPr>
            </w:pPr>
            <w:r w:rsidRPr="002311CE">
              <w:rPr>
                <w:rFonts w:eastAsia="Arial" w:cs="Arial"/>
                <w:b/>
                <w:szCs w:val="24"/>
              </w:rPr>
              <w:t>Convocatoria</w:t>
            </w:r>
            <w:r w:rsidR="00E76010" w:rsidRPr="002311CE">
              <w:rPr>
                <w:rFonts w:eastAsia="Arial" w:cs="Arial"/>
                <w:b/>
                <w:szCs w:val="24"/>
              </w:rPr>
              <w:t>.</w:t>
            </w:r>
            <w:r w:rsidRPr="002311CE">
              <w:rPr>
                <w:rFonts w:eastAsia="Arial" w:cs="Arial"/>
                <w:b/>
                <w:szCs w:val="24"/>
              </w:rPr>
              <w:t xml:space="preserve"> </w:t>
            </w:r>
          </w:p>
        </w:tc>
        <w:tc>
          <w:tcPr>
            <w:tcW w:w="6288" w:type="dxa"/>
          </w:tcPr>
          <w:p w14:paraId="002C3DBC" w14:textId="72A4CF50" w:rsidR="005B1818" w:rsidRPr="002311CE" w:rsidRDefault="00007568" w:rsidP="00281E40">
            <w:pPr>
              <w:spacing w:line="276" w:lineRule="auto"/>
              <w:rPr>
                <w:rFonts w:cs="Arial"/>
                <w:szCs w:val="24"/>
              </w:rPr>
            </w:pPr>
            <w:r w:rsidRPr="002311CE">
              <w:rPr>
                <w:rFonts w:eastAsia="Arial" w:cs="Arial"/>
                <w:szCs w:val="24"/>
              </w:rPr>
              <w:t xml:space="preserve">La </w:t>
            </w:r>
            <w:r w:rsidR="00D262E4" w:rsidRPr="002311CE">
              <w:rPr>
                <w:rFonts w:eastAsia="Arial" w:cs="Arial"/>
                <w:szCs w:val="24"/>
              </w:rPr>
              <w:t>C</w:t>
            </w:r>
            <w:r w:rsidR="005B1818" w:rsidRPr="002311CE">
              <w:rPr>
                <w:rFonts w:eastAsia="Arial" w:cs="Arial"/>
                <w:szCs w:val="24"/>
              </w:rPr>
              <w:t xml:space="preserve">onvocatoria de observación </w:t>
            </w:r>
            <w:r w:rsidRPr="002311CE">
              <w:rPr>
                <w:rFonts w:eastAsia="Arial" w:cs="Arial"/>
                <w:szCs w:val="24"/>
              </w:rPr>
              <w:t xml:space="preserve">que se emitirá </w:t>
            </w:r>
            <w:r w:rsidR="006F0169" w:rsidRPr="00E909A9">
              <w:rPr>
                <w:rFonts w:eastAsia="Arial" w:cs="Arial"/>
                <w:szCs w:val="24"/>
              </w:rPr>
              <w:t xml:space="preserve">para </w:t>
            </w:r>
            <w:r w:rsidR="005B1818" w:rsidRPr="00E909A9">
              <w:rPr>
                <w:rFonts w:eastAsia="Arial" w:cs="Arial"/>
                <w:szCs w:val="24"/>
              </w:rPr>
              <w:t>el proceso de</w:t>
            </w:r>
            <w:r w:rsidR="005B1818" w:rsidRPr="002311CE">
              <w:rPr>
                <w:rFonts w:eastAsia="Arial" w:cs="Arial"/>
                <w:szCs w:val="24"/>
              </w:rPr>
              <w:t xml:space="preserve"> </w:t>
            </w:r>
            <w:r w:rsidR="009902EB" w:rsidRPr="002311CE">
              <w:rPr>
                <w:rFonts w:eastAsia="Arial" w:cs="Arial"/>
                <w:szCs w:val="24"/>
              </w:rPr>
              <w:t>R</w:t>
            </w:r>
            <w:r w:rsidR="005B1818" w:rsidRPr="002311CE">
              <w:rPr>
                <w:rFonts w:eastAsia="Arial" w:cs="Arial"/>
                <w:szCs w:val="24"/>
              </w:rPr>
              <w:t xml:space="preserve">evocación de </w:t>
            </w:r>
            <w:r w:rsidR="009902EB" w:rsidRPr="002311CE">
              <w:rPr>
                <w:rFonts w:eastAsia="Arial" w:cs="Arial"/>
                <w:szCs w:val="24"/>
              </w:rPr>
              <w:t>M</w:t>
            </w:r>
            <w:r w:rsidR="005B1818" w:rsidRPr="002311CE">
              <w:rPr>
                <w:rFonts w:eastAsia="Arial" w:cs="Arial"/>
                <w:szCs w:val="24"/>
              </w:rPr>
              <w:t xml:space="preserve">andato </w:t>
            </w:r>
            <w:r w:rsidR="005B1818" w:rsidRPr="002311CE">
              <w:rPr>
                <w:rFonts w:cs="Arial"/>
                <w:szCs w:val="24"/>
              </w:rPr>
              <w:t xml:space="preserve">de la persona titular </w:t>
            </w:r>
            <w:r w:rsidR="005B1818" w:rsidRPr="002311CE">
              <w:rPr>
                <w:rFonts w:cs="Arial"/>
                <w:szCs w:val="24"/>
              </w:rPr>
              <w:lastRenderedPageBreak/>
              <w:t xml:space="preserve">de la </w:t>
            </w:r>
            <w:r w:rsidR="00D262E4" w:rsidRPr="002311CE">
              <w:rPr>
                <w:rFonts w:cs="Arial"/>
                <w:szCs w:val="24"/>
              </w:rPr>
              <w:t>G</w:t>
            </w:r>
            <w:r w:rsidR="005B1818" w:rsidRPr="002311CE">
              <w:rPr>
                <w:rFonts w:cs="Arial"/>
                <w:szCs w:val="24"/>
              </w:rPr>
              <w:t xml:space="preserve">ubernatura del </w:t>
            </w:r>
            <w:r w:rsidR="00D262E4" w:rsidRPr="002311CE">
              <w:rPr>
                <w:rFonts w:cs="Arial"/>
                <w:szCs w:val="24"/>
              </w:rPr>
              <w:t>E</w:t>
            </w:r>
            <w:r w:rsidR="005B1818" w:rsidRPr="002311CE">
              <w:rPr>
                <w:rFonts w:cs="Arial"/>
                <w:szCs w:val="24"/>
              </w:rPr>
              <w:t>stado de Oaxaca, para el periodo constitucional 2022-2028.</w:t>
            </w:r>
          </w:p>
          <w:p w14:paraId="7571D33F" w14:textId="3ECE01EA" w:rsidR="009846E3" w:rsidRPr="002311CE" w:rsidRDefault="009846E3" w:rsidP="00281E40">
            <w:pPr>
              <w:spacing w:line="276" w:lineRule="auto"/>
              <w:rPr>
                <w:rFonts w:cs="Arial"/>
                <w:b/>
                <w:bCs/>
                <w:szCs w:val="24"/>
              </w:rPr>
            </w:pPr>
          </w:p>
        </w:tc>
      </w:tr>
      <w:tr w:rsidR="005B1818" w:rsidRPr="007A1941" w14:paraId="75A8F4CD" w14:textId="77777777" w:rsidTr="00956D32">
        <w:trPr>
          <w:trHeight w:val="541"/>
        </w:trPr>
        <w:tc>
          <w:tcPr>
            <w:tcW w:w="2717" w:type="dxa"/>
          </w:tcPr>
          <w:p w14:paraId="7FC18AFA" w14:textId="77777777" w:rsidR="005B1818" w:rsidRPr="007A1941" w:rsidRDefault="005B1818" w:rsidP="00281E40">
            <w:pPr>
              <w:spacing w:line="276" w:lineRule="auto"/>
              <w:rPr>
                <w:rFonts w:eastAsia="Arial" w:cs="Arial"/>
                <w:b/>
                <w:szCs w:val="24"/>
              </w:rPr>
            </w:pPr>
            <w:r w:rsidRPr="007A1941">
              <w:rPr>
                <w:rFonts w:eastAsia="Arial" w:cs="Arial"/>
                <w:b/>
                <w:szCs w:val="24"/>
              </w:rPr>
              <w:lastRenderedPageBreak/>
              <w:t>DEECyPC.</w:t>
            </w:r>
          </w:p>
        </w:tc>
        <w:tc>
          <w:tcPr>
            <w:tcW w:w="6288" w:type="dxa"/>
          </w:tcPr>
          <w:p w14:paraId="3C0AB30F" w14:textId="77777777" w:rsidR="005B1818" w:rsidRDefault="005B1818" w:rsidP="00281E40">
            <w:pPr>
              <w:spacing w:line="276" w:lineRule="auto"/>
              <w:rPr>
                <w:rFonts w:eastAsia="Arial" w:cs="Arial"/>
                <w:szCs w:val="24"/>
              </w:rPr>
            </w:pPr>
            <w:r w:rsidRPr="007A1941">
              <w:rPr>
                <w:rFonts w:eastAsia="Arial" w:cs="Arial"/>
                <w:szCs w:val="24"/>
              </w:rPr>
              <w:t xml:space="preserve">Dirección Ejecutiva de Educación Cívica y Participación Ciudadana del Instituto Estatal Electoral y de Participación Ciudadana de Oaxaca. </w:t>
            </w:r>
          </w:p>
          <w:p w14:paraId="22AD83E0" w14:textId="4272754C" w:rsidR="00007568" w:rsidRPr="007A1941" w:rsidRDefault="00007568" w:rsidP="00281E40">
            <w:pPr>
              <w:spacing w:line="276" w:lineRule="auto"/>
              <w:rPr>
                <w:rFonts w:eastAsia="Arial" w:cs="Arial"/>
                <w:szCs w:val="24"/>
              </w:rPr>
            </w:pPr>
          </w:p>
        </w:tc>
      </w:tr>
      <w:tr w:rsidR="006C406B" w:rsidRPr="007A1941" w14:paraId="0ABFE2B8" w14:textId="77777777" w:rsidTr="00956D32">
        <w:trPr>
          <w:trHeight w:val="541"/>
        </w:trPr>
        <w:tc>
          <w:tcPr>
            <w:tcW w:w="2717" w:type="dxa"/>
          </w:tcPr>
          <w:p w14:paraId="13A507E9" w14:textId="72482B08" w:rsidR="006C406B" w:rsidRPr="007A1941" w:rsidRDefault="006C406B" w:rsidP="00281E40">
            <w:pPr>
              <w:spacing w:line="276" w:lineRule="auto"/>
              <w:rPr>
                <w:rFonts w:eastAsia="Arial" w:cs="Arial"/>
                <w:b/>
                <w:szCs w:val="24"/>
              </w:rPr>
            </w:pPr>
            <w:r w:rsidRPr="007A1941">
              <w:rPr>
                <w:rFonts w:eastAsia="Arial" w:cs="Arial"/>
                <w:b/>
                <w:szCs w:val="24"/>
              </w:rPr>
              <w:t xml:space="preserve">Derechos </w:t>
            </w:r>
            <w:r w:rsidR="00162586" w:rsidRPr="007A1941">
              <w:rPr>
                <w:rFonts w:eastAsia="Arial" w:cs="Arial"/>
                <w:b/>
                <w:szCs w:val="24"/>
              </w:rPr>
              <w:t>lingüísticos.</w:t>
            </w:r>
          </w:p>
        </w:tc>
        <w:tc>
          <w:tcPr>
            <w:tcW w:w="6288" w:type="dxa"/>
          </w:tcPr>
          <w:p w14:paraId="64290EDA" w14:textId="7903C097" w:rsidR="006C406B" w:rsidRPr="007A1941" w:rsidRDefault="00FC06DC" w:rsidP="00281E40">
            <w:pPr>
              <w:spacing w:line="276" w:lineRule="auto"/>
              <w:rPr>
                <w:rFonts w:cs="Arial"/>
                <w:szCs w:val="24"/>
              </w:rPr>
            </w:pPr>
            <w:r w:rsidRPr="00BD09E5">
              <w:rPr>
                <w:rFonts w:cs="Arial"/>
                <w:szCs w:val="24"/>
              </w:rPr>
              <w:t>Para los efectos del presente Acuerdo, se entenderá el reconocimiento de la lengua como un derecho humano fundamental y como eje de identidad cultural, que obliga a las instituciones a garantizar el acceso a la información, a los procedimientos, a la capacitación y a la comunicación institucional en las lenguas pertinentes, a fin de asegurar el ejercicio pleno, equitativo y no discriminatorio de los derechos políticos</w:t>
            </w:r>
            <w:r w:rsidR="00C01137" w:rsidRPr="00BD09E5">
              <w:rPr>
                <w:rFonts w:cs="Arial"/>
                <w:szCs w:val="24"/>
              </w:rPr>
              <w:t xml:space="preserve"> electorales</w:t>
            </w:r>
            <w:r w:rsidR="00B07764">
              <w:rPr>
                <w:rFonts w:cs="Arial"/>
                <w:szCs w:val="24"/>
              </w:rPr>
              <w:t>.</w:t>
            </w:r>
            <w:r w:rsidRPr="00BD09E5">
              <w:rPr>
                <w:rStyle w:val="Refdenotaalpie"/>
                <w:rFonts w:cs="Arial"/>
                <w:szCs w:val="24"/>
              </w:rPr>
              <w:footnoteReference w:id="3"/>
            </w:r>
          </w:p>
          <w:p w14:paraId="3D2D37BB" w14:textId="22EFCA1A" w:rsidR="00FC06DC" w:rsidRPr="007A1941" w:rsidRDefault="00FC06DC" w:rsidP="00281E40">
            <w:pPr>
              <w:spacing w:line="276" w:lineRule="auto"/>
              <w:rPr>
                <w:rFonts w:eastAsia="Arial" w:cs="Arial"/>
                <w:szCs w:val="24"/>
              </w:rPr>
            </w:pPr>
          </w:p>
        </w:tc>
      </w:tr>
      <w:tr w:rsidR="00CB426C" w:rsidRPr="007A1941" w14:paraId="35A61ACC" w14:textId="77777777" w:rsidTr="00956D32">
        <w:trPr>
          <w:trHeight w:val="541"/>
        </w:trPr>
        <w:tc>
          <w:tcPr>
            <w:tcW w:w="2717" w:type="dxa"/>
          </w:tcPr>
          <w:p w14:paraId="60B9C4CA" w14:textId="5AB33464" w:rsidR="00CB426C" w:rsidRPr="007A1941" w:rsidRDefault="003D49EF" w:rsidP="00281E40">
            <w:pPr>
              <w:spacing w:line="276" w:lineRule="auto"/>
              <w:rPr>
                <w:rFonts w:eastAsia="Arial" w:cs="Arial"/>
                <w:b/>
                <w:szCs w:val="24"/>
              </w:rPr>
            </w:pPr>
            <w:r w:rsidRPr="007A1941">
              <w:rPr>
                <w:rFonts w:eastAsia="Arial" w:cs="Arial"/>
                <w:b/>
                <w:szCs w:val="24"/>
              </w:rPr>
              <w:t>Derecho a la identidad de género.</w:t>
            </w:r>
          </w:p>
        </w:tc>
        <w:tc>
          <w:tcPr>
            <w:tcW w:w="6288" w:type="dxa"/>
          </w:tcPr>
          <w:p w14:paraId="57FB6328" w14:textId="4AB029EA" w:rsidR="00CB426C" w:rsidRPr="007A1941" w:rsidRDefault="003D49EF" w:rsidP="00281E40">
            <w:pPr>
              <w:spacing w:line="276" w:lineRule="auto"/>
              <w:rPr>
                <w:rFonts w:cs="Arial"/>
                <w:szCs w:val="24"/>
              </w:rPr>
            </w:pPr>
            <w:r w:rsidRPr="007A1941">
              <w:rPr>
                <w:rFonts w:cs="Arial"/>
                <w:szCs w:val="24"/>
              </w:rPr>
              <w:t xml:space="preserve">Para los efectos del presente Acuerdo, se entenderá como el derecho de toda persona a ser reconocida, nombrada y tratada conforme a su identidad de género autopercibida, independientemente de los datos consignados en documentos oficiales. </w:t>
            </w:r>
            <w:r w:rsidR="002A7EB9" w:rsidRPr="007A1941">
              <w:rPr>
                <w:rFonts w:cs="Arial"/>
                <w:szCs w:val="24"/>
              </w:rPr>
              <w:t>En materia de observación, este derecho implica que ninguna persona podrá ser cuestionada, limitada o impedida de participar como observadora debido a su identidad de género o a la falta de coincidencia entre su expresión de género y su documentación oficial.</w:t>
            </w:r>
            <w:r w:rsidRPr="007A1941">
              <w:rPr>
                <w:rStyle w:val="Refdenotaalpie"/>
                <w:rFonts w:cs="Arial"/>
                <w:szCs w:val="24"/>
              </w:rPr>
              <w:footnoteReference w:id="4"/>
            </w:r>
          </w:p>
          <w:p w14:paraId="51BF5ED6" w14:textId="610355B1" w:rsidR="003D49EF" w:rsidRPr="007A1941" w:rsidRDefault="003D49EF" w:rsidP="00281E40">
            <w:pPr>
              <w:spacing w:line="276" w:lineRule="auto"/>
              <w:rPr>
                <w:rFonts w:cs="Arial"/>
                <w:szCs w:val="24"/>
              </w:rPr>
            </w:pPr>
          </w:p>
        </w:tc>
      </w:tr>
      <w:tr w:rsidR="005B1818" w:rsidRPr="007A1941" w14:paraId="25C71F27" w14:textId="77777777" w:rsidTr="00956D32">
        <w:trPr>
          <w:trHeight w:val="541"/>
        </w:trPr>
        <w:tc>
          <w:tcPr>
            <w:tcW w:w="2717" w:type="dxa"/>
          </w:tcPr>
          <w:p w14:paraId="37533328" w14:textId="6F9A8ECD" w:rsidR="005B1818" w:rsidRPr="007A1941" w:rsidRDefault="005B1818" w:rsidP="00281E40">
            <w:pPr>
              <w:spacing w:line="276" w:lineRule="auto"/>
              <w:rPr>
                <w:rFonts w:eastAsia="Arial" w:cs="Arial"/>
                <w:b/>
                <w:szCs w:val="24"/>
              </w:rPr>
            </w:pPr>
            <w:r w:rsidRPr="007A1941">
              <w:rPr>
                <w:rFonts w:eastAsia="Arial" w:cs="Arial"/>
                <w:b/>
                <w:szCs w:val="24"/>
              </w:rPr>
              <w:t>DEOCE</w:t>
            </w:r>
            <w:r w:rsidR="00E76010" w:rsidRPr="007A1941">
              <w:rPr>
                <w:rFonts w:eastAsia="Arial" w:cs="Arial"/>
                <w:b/>
                <w:szCs w:val="24"/>
              </w:rPr>
              <w:t>.</w:t>
            </w:r>
          </w:p>
        </w:tc>
        <w:tc>
          <w:tcPr>
            <w:tcW w:w="6288" w:type="dxa"/>
          </w:tcPr>
          <w:p w14:paraId="1FB471F2" w14:textId="17655426" w:rsidR="005B1818" w:rsidRPr="007A1941" w:rsidRDefault="005B1818" w:rsidP="00281E40">
            <w:pPr>
              <w:spacing w:line="276" w:lineRule="auto"/>
              <w:rPr>
                <w:rFonts w:eastAsia="Arial" w:cs="Arial"/>
                <w:szCs w:val="24"/>
              </w:rPr>
            </w:pPr>
            <w:r w:rsidRPr="007A1941">
              <w:rPr>
                <w:rFonts w:eastAsia="Arial" w:cs="Arial"/>
                <w:szCs w:val="24"/>
              </w:rPr>
              <w:t>Dirección Ejecutiva de Organización y Capacitación Electoral</w:t>
            </w:r>
            <w:r w:rsidR="00E76010" w:rsidRPr="007A1941">
              <w:rPr>
                <w:rFonts w:eastAsia="Arial" w:cs="Arial"/>
                <w:szCs w:val="24"/>
              </w:rPr>
              <w:t>.</w:t>
            </w:r>
          </w:p>
          <w:p w14:paraId="0DDE5748" w14:textId="0B1E2D17" w:rsidR="005B1818" w:rsidRPr="007A1941" w:rsidRDefault="005B1818" w:rsidP="00281E40">
            <w:pPr>
              <w:spacing w:line="276" w:lineRule="auto"/>
              <w:rPr>
                <w:rFonts w:eastAsia="Arial" w:cs="Arial"/>
                <w:szCs w:val="24"/>
              </w:rPr>
            </w:pPr>
          </w:p>
        </w:tc>
      </w:tr>
      <w:tr w:rsidR="005B1818" w:rsidRPr="007A1941" w14:paraId="0565F151" w14:textId="77777777" w:rsidTr="00956D32">
        <w:trPr>
          <w:trHeight w:val="541"/>
        </w:trPr>
        <w:tc>
          <w:tcPr>
            <w:tcW w:w="2717" w:type="dxa"/>
          </w:tcPr>
          <w:p w14:paraId="6DC440CD" w14:textId="77777777" w:rsidR="005B1818" w:rsidRPr="007A1941" w:rsidRDefault="005B1818" w:rsidP="00281E40">
            <w:pPr>
              <w:spacing w:line="276" w:lineRule="auto"/>
              <w:rPr>
                <w:rFonts w:eastAsia="Arial" w:cs="Arial"/>
                <w:b/>
                <w:szCs w:val="24"/>
              </w:rPr>
            </w:pPr>
            <w:r w:rsidRPr="007A1941">
              <w:rPr>
                <w:rFonts w:eastAsia="Arial" w:cs="Arial"/>
                <w:b/>
                <w:szCs w:val="24"/>
              </w:rPr>
              <w:t>IEEPCO o Instituto.</w:t>
            </w:r>
          </w:p>
        </w:tc>
        <w:tc>
          <w:tcPr>
            <w:tcW w:w="6288" w:type="dxa"/>
          </w:tcPr>
          <w:p w14:paraId="1CF6DAB5" w14:textId="77777777" w:rsidR="005B1818" w:rsidRPr="007A1941" w:rsidRDefault="005B1818" w:rsidP="00281E40">
            <w:pPr>
              <w:spacing w:line="276" w:lineRule="auto"/>
              <w:rPr>
                <w:rFonts w:cs="Arial"/>
                <w:szCs w:val="24"/>
              </w:rPr>
            </w:pPr>
            <w:r w:rsidRPr="007A1941">
              <w:rPr>
                <w:rFonts w:eastAsia="Arial" w:cs="Arial"/>
                <w:szCs w:val="24"/>
              </w:rPr>
              <w:t>Instituto</w:t>
            </w:r>
            <w:r w:rsidRPr="007A1941">
              <w:rPr>
                <w:rFonts w:eastAsia="Arial" w:cs="Arial"/>
                <w:szCs w:val="24"/>
              </w:rPr>
              <w:tab/>
              <w:t>Estatal</w:t>
            </w:r>
            <w:r w:rsidRPr="007A1941">
              <w:rPr>
                <w:rFonts w:eastAsia="Arial" w:cs="Arial"/>
                <w:szCs w:val="24"/>
              </w:rPr>
              <w:tab/>
              <w:t>Electoral</w:t>
            </w:r>
            <w:r w:rsidRPr="007A1941">
              <w:rPr>
                <w:rFonts w:eastAsia="Arial" w:cs="Arial"/>
                <w:szCs w:val="24"/>
              </w:rPr>
              <w:tab/>
              <w:t>y de Participación Ciudadana de Oaxaca.</w:t>
            </w:r>
          </w:p>
          <w:p w14:paraId="45310A53" w14:textId="77777777" w:rsidR="005B1818" w:rsidRPr="007A1941" w:rsidRDefault="005B1818" w:rsidP="00281E40">
            <w:pPr>
              <w:spacing w:line="276" w:lineRule="auto"/>
              <w:rPr>
                <w:rFonts w:eastAsia="Arial" w:cs="Arial"/>
                <w:szCs w:val="24"/>
              </w:rPr>
            </w:pPr>
          </w:p>
        </w:tc>
      </w:tr>
      <w:tr w:rsidR="00345F95" w:rsidRPr="007A1941" w14:paraId="3D7C8977" w14:textId="77777777" w:rsidTr="00956D32">
        <w:trPr>
          <w:trHeight w:val="283"/>
        </w:trPr>
        <w:tc>
          <w:tcPr>
            <w:tcW w:w="2717" w:type="dxa"/>
          </w:tcPr>
          <w:p w14:paraId="265ECDAB" w14:textId="2DE4C924" w:rsidR="00345F95" w:rsidRPr="007A1941" w:rsidRDefault="00345F95" w:rsidP="00345F95">
            <w:pPr>
              <w:spacing w:line="276" w:lineRule="auto"/>
              <w:rPr>
                <w:rFonts w:eastAsia="Arial" w:cs="Arial"/>
                <w:b/>
                <w:szCs w:val="24"/>
              </w:rPr>
            </w:pPr>
            <w:r w:rsidRPr="007A1941">
              <w:rPr>
                <w:rFonts w:eastAsia="Arial" w:cs="Arial"/>
                <w:b/>
                <w:szCs w:val="24"/>
              </w:rPr>
              <w:t>IMJUVE.</w:t>
            </w:r>
          </w:p>
        </w:tc>
        <w:tc>
          <w:tcPr>
            <w:tcW w:w="6288" w:type="dxa"/>
          </w:tcPr>
          <w:p w14:paraId="3D05360E" w14:textId="77777777" w:rsidR="00345F95" w:rsidRPr="007A1941" w:rsidRDefault="00345F95" w:rsidP="00345F95">
            <w:pPr>
              <w:spacing w:line="276" w:lineRule="auto"/>
              <w:rPr>
                <w:rFonts w:eastAsia="Arial" w:cs="Arial"/>
                <w:szCs w:val="24"/>
              </w:rPr>
            </w:pPr>
            <w:r w:rsidRPr="007A1941">
              <w:rPr>
                <w:rFonts w:eastAsia="Arial" w:cs="Arial"/>
                <w:szCs w:val="24"/>
              </w:rPr>
              <w:t>Instituto Mexicano de Juventud.</w:t>
            </w:r>
          </w:p>
          <w:p w14:paraId="1E04E972" w14:textId="77777777" w:rsidR="00345F95" w:rsidRPr="007A1941" w:rsidRDefault="00345F95" w:rsidP="00345F95">
            <w:pPr>
              <w:spacing w:line="276" w:lineRule="auto"/>
              <w:rPr>
                <w:rFonts w:eastAsia="Arial" w:cs="Arial"/>
                <w:szCs w:val="24"/>
              </w:rPr>
            </w:pPr>
          </w:p>
        </w:tc>
      </w:tr>
      <w:tr w:rsidR="00345F95" w:rsidRPr="007A1941" w14:paraId="2FD8E657" w14:textId="77777777" w:rsidTr="00956D32">
        <w:trPr>
          <w:trHeight w:val="283"/>
        </w:trPr>
        <w:tc>
          <w:tcPr>
            <w:tcW w:w="2717" w:type="dxa"/>
          </w:tcPr>
          <w:p w14:paraId="32E757C4" w14:textId="77777777" w:rsidR="00345F95" w:rsidRPr="007A1941" w:rsidRDefault="00345F95" w:rsidP="00345F95">
            <w:pPr>
              <w:spacing w:line="276" w:lineRule="auto"/>
              <w:rPr>
                <w:rFonts w:eastAsia="Arial" w:cs="Arial"/>
                <w:b/>
                <w:szCs w:val="24"/>
              </w:rPr>
            </w:pPr>
            <w:r w:rsidRPr="007A1941">
              <w:rPr>
                <w:rFonts w:eastAsia="Arial" w:cs="Arial"/>
                <w:b/>
                <w:szCs w:val="24"/>
              </w:rPr>
              <w:t>INE.</w:t>
            </w:r>
          </w:p>
        </w:tc>
        <w:tc>
          <w:tcPr>
            <w:tcW w:w="6288" w:type="dxa"/>
          </w:tcPr>
          <w:p w14:paraId="701EBB8A" w14:textId="77777777" w:rsidR="00345F95" w:rsidRPr="007A1941" w:rsidRDefault="00345F95" w:rsidP="00345F95">
            <w:pPr>
              <w:spacing w:line="276" w:lineRule="auto"/>
              <w:rPr>
                <w:rFonts w:eastAsia="Arial" w:cs="Arial"/>
                <w:szCs w:val="24"/>
              </w:rPr>
            </w:pPr>
            <w:r w:rsidRPr="007A1941">
              <w:rPr>
                <w:rFonts w:eastAsia="Arial" w:cs="Arial"/>
                <w:szCs w:val="24"/>
              </w:rPr>
              <w:t>Instituto Nacional Electoral.</w:t>
            </w:r>
          </w:p>
          <w:p w14:paraId="660D85F5" w14:textId="77777777" w:rsidR="00345F95" w:rsidRPr="007A1941" w:rsidRDefault="00345F95" w:rsidP="00345F95">
            <w:pPr>
              <w:spacing w:line="276" w:lineRule="auto"/>
              <w:rPr>
                <w:rFonts w:eastAsia="Arial" w:cs="Arial"/>
                <w:szCs w:val="24"/>
              </w:rPr>
            </w:pPr>
          </w:p>
        </w:tc>
      </w:tr>
      <w:tr w:rsidR="00345F95" w:rsidRPr="007A1941" w14:paraId="65DCE923" w14:textId="77777777" w:rsidTr="00956D32">
        <w:trPr>
          <w:trHeight w:val="283"/>
        </w:trPr>
        <w:tc>
          <w:tcPr>
            <w:tcW w:w="2717" w:type="dxa"/>
          </w:tcPr>
          <w:p w14:paraId="3FC7585C" w14:textId="77777777" w:rsidR="00345F95" w:rsidRPr="007A1941" w:rsidRDefault="00345F95" w:rsidP="00345F95">
            <w:pPr>
              <w:spacing w:line="276" w:lineRule="auto"/>
              <w:rPr>
                <w:rFonts w:eastAsia="Arial" w:cs="Arial"/>
                <w:b/>
                <w:szCs w:val="24"/>
              </w:rPr>
            </w:pPr>
            <w:r w:rsidRPr="007A1941">
              <w:rPr>
                <w:rFonts w:eastAsia="Arial" w:cs="Arial"/>
                <w:b/>
                <w:szCs w:val="24"/>
              </w:rPr>
              <w:lastRenderedPageBreak/>
              <w:t>Interculturalidad.</w:t>
            </w:r>
          </w:p>
        </w:tc>
        <w:tc>
          <w:tcPr>
            <w:tcW w:w="6288" w:type="dxa"/>
          </w:tcPr>
          <w:p w14:paraId="558A79D5" w14:textId="2C382566" w:rsidR="00345F95" w:rsidRDefault="00345F95" w:rsidP="00345F95">
            <w:pPr>
              <w:spacing w:line="276" w:lineRule="auto"/>
              <w:rPr>
                <w:rFonts w:cs="Arial"/>
                <w:szCs w:val="24"/>
              </w:rPr>
            </w:pPr>
            <w:r w:rsidRPr="007A1941">
              <w:rPr>
                <w:rFonts w:eastAsia="Arial" w:cs="Arial"/>
                <w:szCs w:val="24"/>
              </w:rPr>
              <w:t>Para los efectos del presente Acuerdo, se entenderá como el principio funcional y relacional que reconoce la coexistencia de múltiples culturas en condiciones de igualdad, promoviendo el diálogo, el respeto mutuo y la construcción conjunta de decisiones en contextos de participación ciudadana.</w:t>
            </w:r>
            <w:r w:rsidRPr="007A1941">
              <w:rPr>
                <w:rStyle w:val="Refdenotaalpie"/>
                <w:rFonts w:eastAsia="Arial" w:cs="Arial"/>
                <w:szCs w:val="24"/>
              </w:rPr>
              <w:footnoteReference w:id="5"/>
            </w:r>
            <w:r w:rsidRPr="007A1941">
              <w:rPr>
                <w:rFonts w:eastAsia="Arial" w:cs="Arial"/>
                <w:szCs w:val="24"/>
              </w:rPr>
              <w:t xml:space="preserve"> </w:t>
            </w:r>
            <w:r w:rsidRPr="007A1941">
              <w:rPr>
                <w:rFonts w:cs="Arial"/>
                <w:szCs w:val="24"/>
              </w:rPr>
              <w:t>En la observación</w:t>
            </w:r>
            <w:r w:rsidR="001106A1">
              <w:rPr>
                <w:rFonts w:cs="Arial"/>
                <w:szCs w:val="24"/>
              </w:rPr>
              <w:t xml:space="preserve"> </w:t>
            </w:r>
            <w:r w:rsidR="00A6145B">
              <w:rPr>
                <w:rFonts w:cs="Arial"/>
                <w:szCs w:val="24"/>
              </w:rPr>
              <w:t>del proceso de Revocación de Mandato</w:t>
            </w:r>
            <w:r w:rsidRPr="007A1941">
              <w:rPr>
                <w:rFonts w:cs="Arial"/>
                <w:szCs w:val="24"/>
              </w:rPr>
              <w:t xml:space="preserve">, este principio </w:t>
            </w:r>
            <w:r>
              <w:rPr>
                <w:rFonts w:cs="Arial"/>
                <w:szCs w:val="24"/>
              </w:rPr>
              <w:t>implica</w:t>
            </w:r>
            <w:r w:rsidRPr="007A1941">
              <w:rPr>
                <w:rFonts w:cs="Arial"/>
                <w:szCs w:val="24"/>
              </w:rPr>
              <w:t xml:space="preserve"> garantizar que las personas pertenecientes a pueblos y comunidades </w:t>
            </w:r>
            <w:r w:rsidR="00FE43D6" w:rsidRPr="00E909A9">
              <w:rPr>
                <w:rFonts w:cs="Arial"/>
                <w:szCs w:val="24"/>
              </w:rPr>
              <w:t>indígenas y</w:t>
            </w:r>
            <w:r w:rsidRPr="00E909A9">
              <w:rPr>
                <w:rFonts w:cs="Arial"/>
                <w:szCs w:val="24"/>
              </w:rPr>
              <w:t xml:space="preserve"> afromexicanas</w:t>
            </w:r>
            <w:r>
              <w:rPr>
                <w:rFonts w:cs="Arial"/>
                <w:szCs w:val="24"/>
              </w:rPr>
              <w:t xml:space="preserve"> </w:t>
            </w:r>
            <w:r w:rsidRPr="007A1941">
              <w:rPr>
                <w:rFonts w:cs="Arial"/>
                <w:szCs w:val="24"/>
              </w:rPr>
              <w:t>participen con pertinencia cultural</w:t>
            </w:r>
            <w:r>
              <w:rPr>
                <w:rFonts w:cs="Arial"/>
                <w:szCs w:val="24"/>
              </w:rPr>
              <w:t>.</w:t>
            </w:r>
          </w:p>
          <w:p w14:paraId="5018E383" w14:textId="1925817E" w:rsidR="000C495C" w:rsidRPr="000C495C" w:rsidRDefault="000C495C" w:rsidP="00345F95">
            <w:pPr>
              <w:spacing w:line="276" w:lineRule="auto"/>
              <w:rPr>
                <w:rFonts w:cs="Arial"/>
                <w:szCs w:val="24"/>
              </w:rPr>
            </w:pPr>
          </w:p>
        </w:tc>
      </w:tr>
      <w:tr w:rsidR="00345F95" w:rsidRPr="007A1941" w14:paraId="72ED64A6" w14:textId="77777777" w:rsidTr="00956D32">
        <w:trPr>
          <w:trHeight w:val="541"/>
        </w:trPr>
        <w:tc>
          <w:tcPr>
            <w:tcW w:w="2717" w:type="dxa"/>
          </w:tcPr>
          <w:p w14:paraId="74D20730" w14:textId="43659819" w:rsidR="00345F95" w:rsidRPr="007A1941" w:rsidRDefault="00345F95" w:rsidP="00345F95">
            <w:pPr>
              <w:spacing w:line="276" w:lineRule="auto"/>
              <w:rPr>
                <w:rFonts w:eastAsia="Arial" w:cs="Arial"/>
                <w:b/>
                <w:szCs w:val="24"/>
              </w:rPr>
            </w:pPr>
            <w:r w:rsidRPr="007A1941">
              <w:rPr>
                <w:rFonts w:eastAsia="Arial" w:cs="Arial"/>
                <w:b/>
                <w:szCs w:val="24"/>
              </w:rPr>
              <w:t>Ley de los Derechos de las Personas con Discapacidad</w:t>
            </w:r>
            <w:r w:rsidR="00FE43D6">
              <w:rPr>
                <w:rFonts w:eastAsia="Arial" w:cs="Arial"/>
                <w:b/>
                <w:szCs w:val="24"/>
              </w:rPr>
              <w:t>.</w:t>
            </w:r>
          </w:p>
        </w:tc>
        <w:tc>
          <w:tcPr>
            <w:tcW w:w="6288" w:type="dxa"/>
          </w:tcPr>
          <w:p w14:paraId="767F5ADB" w14:textId="4AFF9DF4" w:rsidR="00345F95" w:rsidRDefault="00345F95" w:rsidP="00345F95">
            <w:pPr>
              <w:spacing w:line="276" w:lineRule="auto"/>
              <w:rPr>
                <w:rFonts w:eastAsia="Arial" w:cs="Arial"/>
                <w:szCs w:val="24"/>
              </w:rPr>
            </w:pPr>
            <w:r w:rsidRPr="007A1941">
              <w:rPr>
                <w:rFonts w:eastAsia="Arial" w:cs="Arial"/>
                <w:szCs w:val="24"/>
              </w:rPr>
              <w:t>Ley de los Derechos de las Personas con Discapacidad en el Estado de Oaxaca</w:t>
            </w:r>
            <w:r w:rsidR="00B07764">
              <w:rPr>
                <w:rFonts w:eastAsia="Arial" w:cs="Arial"/>
                <w:szCs w:val="24"/>
              </w:rPr>
              <w:t>.</w:t>
            </w:r>
            <w:r w:rsidRPr="007A1941">
              <w:rPr>
                <w:rStyle w:val="Refdenotaalpie"/>
                <w:rFonts w:eastAsia="Arial" w:cs="Arial"/>
                <w:szCs w:val="24"/>
              </w:rPr>
              <w:footnoteReference w:id="6"/>
            </w:r>
          </w:p>
          <w:p w14:paraId="7A310505" w14:textId="77777777" w:rsidR="00345F95" w:rsidRDefault="00345F95" w:rsidP="00345F95">
            <w:pPr>
              <w:spacing w:line="276" w:lineRule="auto"/>
              <w:rPr>
                <w:rFonts w:eastAsia="Arial" w:cs="Arial"/>
                <w:szCs w:val="24"/>
              </w:rPr>
            </w:pPr>
          </w:p>
          <w:p w14:paraId="386AC3FC" w14:textId="45209E1A" w:rsidR="00345F95" w:rsidRPr="007A1941" w:rsidRDefault="00345F95" w:rsidP="00345F95">
            <w:pPr>
              <w:spacing w:line="276" w:lineRule="auto"/>
              <w:rPr>
                <w:rFonts w:eastAsia="Arial" w:cs="Arial"/>
                <w:szCs w:val="24"/>
              </w:rPr>
            </w:pPr>
          </w:p>
        </w:tc>
      </w:tr>
      <w:tr w:rsidR="00345F95" w:rsidRPr="007A1941" w14:paraId="0A174D59" w14:textId="77777777" w:rsidTr="00956D32">
        <w:trPr>
          <w:trHeight w:val="541"/>
        </w:trPr>
        <w:tc>
          <w:tcPr>
            <w:tcW w:w="2717" w:type="dxa"/>
          </w:tcPr>
          <w:p w14:paraId="7F108660" w14:textId="77777777" w:rsidR="00345F95" w:rsidRPr="007A1941" w:rsidRDefault="00345F95" w:rsidP="00345F95">
            <w:pPr>
              <w:spacing w:line="276" w:lineRule="auto"/>
              <w:rPr>
                <w:rFonts w:eastAsia="Arial" w:cs="Arial"/>
                <w:b/>
                <w:szCs w:val="24"/>
              </w:rPr>
            </w:pPr>
            <w:r w:rsidRPr="007A1941">
              <w:rPr>
                <w:rFonts w:eastAsia="Arial" w:cs="Arial"/>
                <w:b/>
                <w:szCs w:val="24"/>
              </w:rPr>
              <w:t>LGIPE.</w:t>
            </w:r>
          </w:p>
        </w:tc>
        <w:tc>
          <w:tcPr>
            <w:tcW w:w="6288" w:type="dxa"/>
          </w:tcPr>
          <w:p w14:paraId="38001559" w14:textId="11A3023E" w:rsidR="00345F95" w:rsidRPr="007A1941" w:rsidRDefault="00345F95" w:rsidP="00345F95">
            <w:pPr>
              <w:spacing w:line="276" w:lineRule="auto"/>
              <w:rPr>
                <w:rFonts w:eastAsia="Arial" w:cs="Arial"/>
                <w:szCs w:val="24"/>
              </w:rPr>
            </w:pPr>
            <w:r w:rsidRPr="007A1941">
              <w:rPr>
                <w:rFonts w:eastAsia="Arial" w:cs="Arial"/>
                <w:szCs w:val="24"/>
              </w:rPr>
              <w:t>Ley General de Instituciones y Procedimientos Electorales</w:t>
            </w:r>
            <w:r w:rsidR="00B07764">
              <w:rPr>
                <w:rFonts w:eastAsia="Arial" w:cs="Arial"/>
                <w:szCs w:val="24"/>
              </w:rPr>
              <w:t>.</w:t>
            </w:r>
            <w:r w:rsidRPr="007A1941">
              <w:rPr>
                <w:rStyle w:val="Refdenotaalpie"/>
                <w:rFonts w:eastAsia="Arial" w:cs="Arial"/>
                <w:szCs w:val="24"/>
              </w:rPr>
              <w:footnoteReference w:id="7"/>
            </w:r>
            <w:r w:rsidRPr="007A1941">
              <w:rPr>
                <w:rFonts w:eastAsia="Arial" w:cs="Arial"/>
                <w:szCs w:val="24"/>
              </w:rPr>
              <w:t xml:space="preserve"> </w:t>
            </w:r>
          </w:p>
          <w:p w14:paraId="763FD690" w14:textId="77777777" w:rsidR="00345F95" w:rsidRPr="007A1941" w:rsidRDefault="00345F95" w:rsidP="00345F95">
            <w:pPr>
              <w:spacing w:line="276" w:lineRule="auto"/>
              <w:rPr>
                <w:rFonts w:eastAsia="Arial" w:cs="Arial"/>
                <w:szCs w:val="24"/>
              </w:rPr>
            </w:pPr>
          </w:p>
        </w:tc>
      </w:tr>
      <w:tr w:rsidR="00345F95" w:rsidRPr="007A1941" w14:paraId="1397BD00" w14:textId="77777777" w:rsidTr="00956D32">
        <w:trPr>
          <w:trHeight w:val="541"/>
        </w:trPr>
        <w:tc>
          <w:tcPr>
            <w:tcW w:w="2717" w:type="dxa"/>
          </w:tcPr>
          <w:p w14:paraId="6F505C68" w14:textId="77777777" w:rsidR="00345F95" w:rsidRPr="007A1941" w:rsidRDefault="00345F95" w:rsidP="00345F95">
            <w:pPr>
              <w:spacing w:line="276" w:lineRule="auto"/>
              <w:rPr>
                <w:rFonts w:eastAsia="Arial" w:cs="Arial"/>
                <w:b/>
                <w:szCs w:val="24"/>
              </w:rPr>
            </w:pPr>
          </w:p>
          <w:p w14:paraId="78F5EF66" w14:textId="77777777" w:rsidR="00345F95" w:rsidRPr="007A1941" w:rsidRDefault="00345F95" w:rsidP="00345F95">
            <w:pPr>
              <w:spacing w:line="276" w:lineRule="auto"/>
              <w:rPr>
                <w:rFonts w:eastAsia="Arial" w:cs="Arial"/>
                <w:b/>
                <w:szCs w:val="24"/>
              </w:rPr>
            </w:pPr>
            <w:r w:rsidRPr="007A1941">
              <w:rPr>
                <w:rFonts w:eastAsia="Arial" w:cs="Arial"/>
                <w:b/>
                <w:szCs w:val="24"/>
              </w:rPr>
              <w:t>LIPEEO.</w:t>
            </w:r>
          </w:p>
        </w:tc>
        <w:tc>
          <w:tcPr>
            <w:tcW w:w="6288" w:type="dxa"/>
          </w:tcPr>
          <w:p w14:paraId="0DEE125F" w14:textId="0BAD32CF" w:rsidR="00345F95" w:rsidRPr="007A1941" w:rsidRDefault="00345F95" w:rsidP="00345F95">
            <w:pPr>
              <w:spacing w:line="276" w:lineRule="auto"/>
              <w:rPr>
                <w:rFonts w:eastAsia="Arial" w:cs="Arial"/>
                <w:szCs w:val="24"/>
              </w:rPr>
            </w:pPr>
            <w:r w:rsidRPr="007A1941">
              <w:rPr>
                <w:rFonts w:eastAsia="Arial" w:cs="Arial"/>
                <w:szCs w:val="24"/>
              </w:rPr>
              <w:t>Ley de Instituciones y Procedimientos Electorales para el Estado de Oaxaca</w:t>
            </w:r>
            <w:r w:rsidR="00C36A1B">
              <w:rPr>
                <w:rFonts w:eastAsia="Arial" w:cs="Arial"/>
                <w:szCs w:val="24"/>
              </w:rPr>
              <w:t>.</w:t>
            </w:r>
            <w:r w:rsidR="00272AFD" w:rsidRPr="007A1941">
              <w:rPr>
                <w:rStyle w:val="Refdenotaalpie"/>
                <w:rFonts w:eastAsia="Arial" w:cs="Arial"/>
                <w:szCs w:val="24"/>
              </w:rPr>
              <w:footnoteReference w:id="8"/>
            </w:r>
          </w:p>
          <w:p w14:paraId="014372CC" w14:textId="77777777" w:rsidR="00345F95" w:rsidRPr="007A1941" w:rsidRDefault="00345F95" w:rsidP="00345F95">
            <w:pPr>
              <w:spacing w:line="276" w:lineRule="auto"/>
              <w:rPr>
                <w:rFonts w:eastAsia="Arial" w:cs="Arial"/>
                <w:szCs w:val="24"/>
              </w:rPr>
            </w:pPr>
          </w:p>
        </w:tc>
      </w:tr>
      <w:tr w:rsidR="00345F95" w:rsidRPr="007A1941" w14:paraId="5EA99A11" w14:textId="77777777" w:rsidTr="00956D32">
        <w:trPr>
          <w:trHeight w:val="541"/>
        </w:trPr>
        <w:tc>
          <w:tcPr>
            <w:tcW w:w="2717" w:type="dxa"/>
          </w:tcPr>
          <w:p w14:paraId="34E170F4" w14:textId="77777777" w:rsidR="00345F95" w:rsidRDefault="00345F95" w:rsidP="00345F95">
            <w:pPr>
              <w:spacing w:line="276" w:lineRule="auto"/>
              <w:rPr>
                <w:rFonts w:eastAsia="Arial" w:cs="Arial"/>
                <w:b/>
                <w:szCs w:val="24"/>
              </w:rPr>
            </w:pPr>
            <w:r w:rsidRPr="007A1941">
              <w:rPr>
                <w:rFonts w:eastAsia="Arial" w:cs="Arial"/>
                <w:b/>
                <w:szCs w:val="24"/>
              </w:rPr>
              <w:t>LRMEO.</w:t>
            </w:r>
          </w:p>
          <w:p w14:paraId="259BE87D" w14:textId="77777777" w:rsidR="00345F95" w:rsidRPr="007A1941" w:rsidRDefault="00345F95" w:rsidP="00345F95">
            <w:pPr>
              <w:spacing w:line="276" w:lineRule="auto"/>
              <w:rPr>
                <w:rFonts w:eastAsia="Arial" w:cs="Arial"/>
                <w:b/>
                <w:szCs w:val="24"/>
              </w:rPr>
            </w:pPr>
          </w:p>
        </w:tc>
        <w:tc>
          <w:tcPr>
            <w:tcW w:w="6288" w:type="dxa"/>
          </w:tcPr>
          <w:p w14:paraId="4DE9A247" w14:textId="58736B0D" w:rsidR="00345F95" w:rsidRDefault="00345F95" w:rsidP="00345F95">
            <w:pPr>
              <w:spacing w:line="276" w:lineRule="auto"/>
              <w:rPr>
                <w:rFonts w:cs="Arial"/>
                <w:szCs w:val="24"/>
              </w:rPr>
            </w:pPr>
            <w:r w:rsidRPr="007A1941">
              <w:rPr>
                <w:rFonts w:cs="Arial"/>
                <w:szCs w:val="24"/>
              </w:rPr>
              <w:t>Ley de Revocación de Mandato para el Estado de Oaxaca</w:t>
            </w:r>
            <w:r w:rsidR="00A6145B">
              <w:rPr>
                <w:rFonts w:cs="Arial"/>
                <w:szCs w:val="24"/>
              </w:rPr>
              <w:t>.</w:t>
            </w:r>
            <w:r w:rsidR="00022741">
              <w:rPr>
                <w:rStyle w:val="Refdenotaalpie"/>
                <w:rFonts w:cs="Arial"/>
                <w:szCs w:val="24"/>
              </w:rPr>
              <w:footnoteReference w:id="9"/>
            </w:r>
          </w:p>
          <w:p w14:paraId="6932D887" w14:textId="77777777" w:rsidR="00345F95" w:rsidRPr="007A1941" w:rsidRDefault="00345F95" w:rsidP="00345F95">
            <w:pPr>
              <w:spacing w:line="276" w:lineRule="auto"/>
              <w:rPr>
                <w:rFonts w:cs="Arial"/>
                <w:szCs w:val="24"/>
              </w:rPr>
            </w:pPr>
          </w:p>
        </w:tc>
      </w:tr>
      <w:tr w:rsidR="00345F95" w:rsidRPr="007A1941" w14:paraId="281BAEA8" w14:textId="77777777" w:rsidTr="00956D32">
        <w:trPr>
          <w:trHeight w:val="541"/>
        </w:trPr>
        <w:tc>
          <w:tcPr>
            <w:tcW w:w="2717" w:type="dxa"/>
          </w:tcPr>
          <w:p w14:paraId="6376C99E" w14:textId="069004E1" w:rsidR="00345F95" w:rsidRPr="007A1941" w:rsidRDefault="00345F95" w:rsidP="00345F95">
            <w:pPr>
              <w:spacing w:line="276" w:lineRule="auto"/>
              <w:rPr>
                <w:rFonts w:eastAsia="Arial" w:cs="Arial"/>
                <w:b/>
                <w:szCs w:val="24"/>
              </w:rPr>
            </w:pPr>
            <w:r w:rsidRPr="007A1941">
              <w:rPr>
                <w:rFonts w:eastAsia="Arial" w:cs="Arial"/>
                <w:b/>
                <w:szCs w:val="24"/>
              </w:rPr>
              <w:t>Ley para Atender, Prevenir y Eliminar la Discriminación</w:t>
            </w:r>
            <w:r w:rsidR="002D349D">
              <w:rPr>
                <w:rFonts w:eastAsia="Arial" w:cs="Arial"/>
                <w:b/>
                <w:szCs w:val="24"/>
              </w:rPr>
              <w:t xml:space="preserve">. </w:t>
            </w:r>
          </w:p>
        </w:tc>
        <w:tc>
          <w:tcPr>
            <w:tcW w:w="6288" w:type="dxa"/>
          </w:tcPr>
          <w:p w14:paraId="79F1AF85" w14:textId="397B8B1D" w:rsidR="00345F95" w:rsidRDefault="00345F95" w:rsidP="00345F95">
            <w:pPr>
              <w:spacing w:line="276" w:lineRule="auto"/>
              <w:rPr>
                <w:rFonts w:eastAsia="Arial" w:cs="Arial"/>
                <w:szCs w:val="24"/>
              </w:rPr>
            </w:pPr>
            <w:r w:rsidRPr="007A1941">
              <w:rPr>
                <w:rFonts w:eastAsia="Arial" w:cs="Arial"/>
                <w:szCs w:val="24"/>
              </w:rPr>
              <w:t>Ley para Atender, Prevenir y Eliminar la Discriminación en el Estado de Oaxaca</w:t>
            </w:r>
            <w:r w:rsidR="00C36A1B">
              <w:rPr>
                <w:rFonts w:eastAsia="Arial" w:cs="Arial"/>
                <w:szCs w:val="24"/>
              </w:rPr>
              <w:t>.</w:t>
            </w:r>
            <w:r w:rsidR="00A30C8C">
              <w:rPr>
                <w:rStyle w:val="Refdenotaalpie"/>
                <w:rFonts w:eastAsia="Arial" w:cs="Arial"/>
                <w:szCs w:val="24"/>
              </w:rPr>
              <w:footnoteReference w:id="10"/>
            </w:r>
          </w:p>
          <w:p w14:paraId="5B176E21" w14:textId="77777777" w:rsidR="00345F95" w:rsidRDefault="00345F95" w:rsidP="00345F95">
            <w:pPr>
              <w:spacing w:line="276" w:lineRule="auto"/>
              <w:rPr>
                <w:rFonts w:eastAsia="Arial" w:cs="Arial"/>
                <w:szCs w:val="24"/>
              </w:rPr>
            </w:pPr>
          </w:p>
          <w:p w14:paraId="5F21A09E" w14:textId="2B4A43CA" w:rsidR="00022741" w:rsidRPr="007A1941" w:rsidRDefault="00022741" w:rsidP="00345F95">
            <w:pPr>
              <w:spacing w:line="276" w:lineRule="auto"/>
              <w:rPr>
                <w:rFonts w:cs="Arial"/>
                <w:szCs w:val="24"/>
              </w:rPr>
            </w:pPr>
          </w:p>
        </w:tc>
      </w:tr>
      <w:tr w:rsidR="006D088A" w:rsidRPr="007A1941" w14:paraId="2EE605A5" w14:textId="77777777" w:rsidTr="00956D32">
        <w:trPr>
          <w:trHeight w:val="541"/>
        </w:trPr>
        <w:tc>
          <w:tcPr>
            <w:tcW w:w="2717" w:type="dxa"/>
          </w:tcPr>
          <w:p w14:paraId="642BE820" w14:textId="625C6433" w:rsidR="006D088A" w:rsidRDefault="006D088A" w:rsidP="008A12CF">
            <w:pPr>
              <w:spacing w:line="276" w:lineRule="auto"/>
              <w:rPr>
                <w:rFonts w:eastAsia="Arial" w:cs="Arial"/>
                <w:b/>
                <w:szCs w:val="24"/>
              </w:rPr>
            </w:pPr>
            <w:r w:rsidRPr="007A1941">
              <w:rPr>
                <w:rFonts w:eastAsia="Arial" w:cs="Arial"/>
                <w:b/>
                <w:szCs w:val="24"/>
              </w:rPr>
              <w:t>Lineamientos de observación</w:t>
            </w:r>
            <w:r w:rsidR="002256D6">
              <w:rPr>
                <w:rFonts w:eastAsia="Arial" w:cs="Arial"/>
                <w:b/>
                <w:szCs w:val="24"/>
              </w:rPr>
              <w:t xml:space="preserve"> del proceso de </w:t>
            </w:r>
            <w:r w:rsidR="002256D6">
              <w:rPr>
                <w:rFonts w:eastAsia="Arial" w:cs="Arial"/>
                <w:b/>
                <w:szCs w:val="24"/>
              </w:rPr>
              <w:lastRenderedPageBreak/>
              <w:t>Revocación de Mandato</w:t>
            </w:r>
            <w:r w:rsidRPr="007A1941">
              <w:rPr>
                <w:rFonts w:eastAsia="Arial" w:cs="Arial"/>
                <w:b/>
                <w:szCs w:val="24"/>
              </w:rPr>
              <w:t xml:space="preserve">. </w:t>
            </w:r>
          </w:p>
          <w:p w14:paraId="22FCC366" w14:textId="77777777" w:rsidR="006D088A" w:rsidRDefault="006D088A" w:rsidP="006D088A">
            <w:pPr>
              <w:spacing w:line="276" w:lineRule="auto"/>
              <w:jc w:val="left"/>
              <w:rPr>
                <w:rFonts w:eastAsia="Arial" w:cs="Arial"/>
                <w:b/>
                <w:szCs w:val="24"/>
              </w:rPr>
            </w:pPr>
          </w:p>
        </w:tc>
        <w:tc>
          <w:tcPr>
            <w:tcW w:w="6288" w:type="dxa"/>
          </w:tcPr>
          <w:p w14:paraId="3B6CF5DF" w14:textId="5FD94F67" w:rsidR="006D088A" w:rsidRPr="007A1941" w:rsidRDefault="006D088A" w:rsidP="006D088A">
            <w:pPr>
              <w:spacing w:line="276" w:lineRule="auto"/>
              <w:rPr>
                <w:rFonts w:cs="Arial"/>
                <w:b/>
                <w:bCs/>
                <w:szCs w:val="24"/>
              </w:rPr>
            </w:pPr>
            <w:bookmarkStart w:id="0" w:name="_Hlk213782387"/>
            <w:r w:rsidRPr="007A1941">
              <w:rPr>
                <w:rFonts w:eastAsia="Arial" w:cs="Arial"/>
                <w:szCs w:val="24"/>
              </w:rPr>
              <w:lastRenderedPageBreak/>
              <w:t xml:space="preserve">Lineamientos </w:t>
            </w:r>
            <w:r w:rsidRPr="007A1941">
              <w:rPr>
                <w:rFonts w:cs="Arial"/>
                <w:szCs w:val="24"/>
              </w:rPr>
              <w:t xml:space="preserve">para la implementación de la observación durante el proceso de </w:t>
            </w:r>
            <w:r>
              <w:rPr>
                <w:rFonts w:cs="Arial"/>
                <w:szCs w:val="24"/>
              </w:rPr>
              <w:t>R</w:t>
            </w:r>
            <w:r w:rsidRPr="007A1941">
              <w:rPr>
                <w:rFonts w:cs="Arial"/>
                <w:szCs w:val="24"/>
              </w:rPr>
              <w:t xml:space="preserve">evocación de </w:t>
            </w:r>
            <w:r>
              <w:rPr>
                <w:rFonts w:cs="Arial"/>
                <w:szCs w:val="24"/>
              </w:rPr>
              <w:t>M</w:t>
            </w:r>
            <w:r w:rsidRPr="007A1941">
              <w:rPr>
                <w:rFonts w:cs="Arial"/>
                <w:szCs w:val="24"/>
              </w:rPr>
              <w:t xml:space="preserve">andato de la persona titular de la </w:t>
            </w:r>
            <w:r w:rsidR="00010651">
              <w:rPr>
                <w:rFonts w:cs="Arial"/>
                <w:szCs w:val="24"/>
              </w:rPr>
              <w:t>G</w:t>
            </w:r>
            <w:r w:rsidRPr="007A1941">
              <w:rPr>
                <w:rFonts w:cs="Arial"/>
                <w:szCs w:val="24"/>
              </w:rPr>
              <w:t xml:space="preserve">ubernatura del </w:t>
            </w:r>
            <w:r w:rsidR="00010651">
              <w:rPr>
                <w:rFonts w:cs="Arial"/>
                <w:szCs w:val="24"/>
              </w:rPr>
              <w:t>E</w:t>
            </w:r>
            <w:r w:rsidRPr="007A1941">
              <w:rPr>
                <w:rFonts w:cs="Arial"/>
                <w:szCs w:val="24"/>
              </w:rPr>
              <w:t>stado de Oaxaca, para el periodo constitucional 2022-2028.</w:t>
            </w:r>
          </w:p>
          <w:bookmarkEnd w:id="0"/>
          <w:p w14:paraId="55E0DF5E" w14:textId="77777777" w:rsidR="006D088A" w:rsidRDefault="006D088A" w:rsidP="006D088A">
            <w:pPr>
              <w:spacing w:line="276" w:lineRule="auto"/>
              <w:rPr>
                <w:rFonts w:eastAsia="Arial" w:cs="Arial"/>
                <w:szCs w:val="24"/>
              </w:rPr>
            </w:pPr>
          </w:p>
        </w:tc>
      </w:tr>
      <w:tr w:rsidR="006D088A" w:rsidRPr="007A1941" w14:paraId="5D8AC67C" w14:textId="77777777" w:rsidTr="00956D32">
        <w:trPr>
          <w:trHeight w:val="541"/>
        </w:trPr>
        <w:tc>
          <w:tcPr>
            <w:tcW w:w="2717" w:type="dxa"/>
          </w:tcPr>
          <w:p w14:paraId="6A9848C4" w14:textId="0874B92D" w:rsidR="006D088A" w:rsidRPr="007A1941" w:rsidRDefault="006D088A" w:rsidP="006D088A">
            <w:pPr>
              <w:spacing w:line="276" w:lineRule="auto"/>
              <w:jc w:val="left"/>
              <w:rPr>
                <w:rFonts w:eastAsia="Arial" w:cs="Arial"/>
                <w:b/>
                <w:szCs w:val="24"/>
              </w:rPr>
            </w:pPr>
            <w:r>
              <w:rPr>
                <w:rFonts w:eastAsia="Arial" w:cs="Arial"/>
                <w:b/>
                <w:szCs w:val="24"/>
              </w:rPr>
              <w:lastRenderedPageBreak/>
              <w:t>Lineamientos de Revocación de Mandato.</w:t>
            </w:r>
          </w:p>
          <w:p w14:paraId="2E1EB610" w14:textId="77777777" w:rsidR="006D088A" w:rsidRPr="007A1941" w:rsidRDefault="006D088A" w:rsidP="006D088A">
            <w:pPr>
              <w:spacing w:line="276" w:lineRule="auto"/>
              <w:rPr>
                <w:rFonts w:eastAsia="Arial" w:cs="Arial"/>
                <w:b/>
                <w:szCs w:val="24"/>
              </w:rPr>
            </w:pPr>
          </w:p>
        </w:tc>
        <w:tc>
          <w:tcPr>
            <w:tcW w:w="6288" w:type="dxa"/>
          </w:tcPr>
          <w:p w14:paraId="4EE74C53" w14:textId="2EDBCDEA" w:rsidR="006D088A" w:rsidRDefault="006D088A" w:rsidP="006D088A">
            <w:pPr>
              <w:spacing w:line="276" w:lineRule="auto"/>
              <w:rPr>
                <w:rFonts w:eastAsia="Arial" w:cs="Arial"/>
                <w:szCs w:val="24"/>
              </w:rPr>
            </w:pPr>
            <w:r>
              <w:rPr>
                <w:rFonts w:eastAsia="Arial" w:cs="Arial"/>
                <w:szCs w:val="24"/>
              </w:rPr>
              <w:t xml:space="preserve">Lineamientos del Instituto Estatal Electoral y de Participación Ciudadana de Oaxaca para la </w:t>
            </w:r>
            <w:r w:rsidR="00AC53BB">
              <w:rPr>
                <w:rFonts w:eastAsia="Arial" w:cs="Arial"/>
                <w:szCs w:val="24"/>
              </w:rPr>
              <w:t>o</w:t>
            </w:r>
            <w:r>
              <w:rPr>
                <w:rFonts w:eastAsia="Arial" w:cs="Arial"/>
                <w:szCs w:val="24"/>
              </w:rPr>
              <w:t xml:space="preserve">rganización, </w:t>
            </w:r>
            <w:r w:rsidR="00AC53BB">
              <w:rPr>
                <w:rFonts w:eastAsia="Arial" w:cs="Arial"/>
                <w:szCs w:val="24"/>
              </w:rPr>
              <w:t>d</w:t>
            </w:r>
            <w:r>
              <w:rPr>
                <w:rFonts w:eastAsia="Arial" w:cs="Arial"/>
                <w:szCs w:val="24"/>
              </w:rPr>
              <w:t xml:space="preserve">esarrollo y </w:t>
            </w:r>
            <w:r w:rsidR="00AC53BB">
              <w:rPr>
                <w:rFonts w:eastAsia="Arial" w:cs="Arial"/>
                <w:szCs w:val="24"/>
              </w:rPr>
              <w:t>v</w:t>
            </w:r>
            <w:r>
              <w:rPr>
                <w:rFonts w:eastAsia="Arial" w:cs="Arial"/>
                <w:szCs w:val="24"/>
              </w:rPr>
              <w:t xml:space="preserve">igilancia de los actos previos y el proceso de Revocación de Mandato de la persona titular de la </w:t>
            </w:r>
            <w:r w:rsidR="00AC53BB">
              <w:rPr>
                <w:rFonts w:eastAsia="Arial" w:cs="Arial"/>
                <w:szCs w:val="24"/>
              </w:rPr>
              <w:t>G</w:t>
            </w:r>
            <w:r>
              <w:rPr>
                <w:rFonts w:eastAsia="Arial" w:cs="Arial"/>
                <w:szCs w:val="24"/>
              </w:rPr>
              <w:t xml:space="preserve">ubernatura del </w:t>
            </w:r>
            <w:r w:rsidR="00AC53BB">
              <w:rPr>
                <w:rFonts w:eastAsia="Arial" w:cs="Arial"/>
                <w:szCs w:val="24"/>
              </w:rPr>
              <w:t>E</w:t>
            </w:r>
            <w:r>
              <w:rPr>
                <w:rFonts w:eastAsia="Arial" w:cs="Arial"/>
                <w:szCs w:val="24"/>
              </w:rPr>
              <w:t>stado de Oaxaca, para el periodo constitucional 2022-2028.</w:t>
            </w:r>
            <w:r w:rsidR="009314DA">
              <w:rPr>
                <w:rStyle w:val="Refdenotaalpie"/>
                <w:rFonts w:eastAsia="Arial" w:cs="Arial"/>
                <w:szCs w:val="24"/>
              </w:rPr>
              <w:footnoteReference w:id="11"/>
            </w:r>
          </w:p>
          <w:p w14:paraId="6B3B5077" w14:textId="76F92402" w:rsidR="006D088A" w:rsidRPr="007A1941" w:rsidRDefault="006D088A" w:rsidP="006D088A">
            <w:pPr>
              <w:spacing w:line="276" w:lineRule="auto"/>
              <w:rPr>
                <w:rFonts w:eastAsia="Arial" w:cs="Arial"/>
                <w:szCs w:val="24"/>
              </w:rPr>
            </w:pPr>
          </w:p>
        </w:tc>
      </w:tr>
      <w:tr w:rsidR="006D088A" w:rsidRPr="007A1941" w14:paraId="6D301018" w14:textId="77777777" w:rsidTr="00956D32">
        <w:trPr>
          <w:trHeight w:val="541"/>
        </w:trPr>
        <w:tc>
          <w:tcPr>
            <w:tcW w:w="2717" w:type="dxa"/>
          </w:tcPr>
          <w:p w14:paraId="734B4FC9" w14:textId="0BFAAB28" w:rsidR="006D088A" w:rsidRPr="007A1941" w:rsidRDefault="006D088A" w:rsidP="006D088A">
            <w:pPr>
              <w:spacing w:line="276" w:lineRule="auto"/>
              <w:rPr>
                <w:rFonts w:eastAsia="Arial" w:cs="Arial"/>
                <w:b/>
                <w:szCs w:val="24"/>
              </w:rPr>
            </w:pPr>
            <w:r w:rsidRPr="007A1941">
              <w:rPr>
                <w:rFonts w:eastAsia="Arial" w:cs="Arial"/>
                <w:b/>
                <w:szCs w:val="24"/>
              </w:rPr>
              <w:t>Observación trans-inclusiva.</w:t>
            </w:r>
          </w:p>
        </w:tc>
        <w:tc>
          <w:tcPr>
            <w:tcW w:w="6288" w:type="dxa"/>
          </w:tcPr>
          <w:p w14:paraId="1E98773E" w14:textId="7F0341CF" w:rsidR="006D088A" w:rsidRPr="007A1941" w:rsidRDefault="006D088A" w:rsidP="006D088A">
            <w:pPr>
              <w:spacing w:line="276" w:lineRule="auto"/>
              <w:rPr>
                <w:rFonts w:cs="Arial"/>
                <w:szCs w:val="24"/>
              </w:rPr>
            </w:pPr>
            <w:r w:rsidRPr="007A1941">
              <w:rPr>
                <w:rFonts w:cs="Arial"/>
                <w:szCs w:val="24"/>
              </w:rPr>
              <w:t>Para los efectos del presente Acuerdo, se entenderá como el conjunto de medidas, prácticas y estándares institucionales orientados a garantizar que las personas trans puedan participar como observadoras en condiciones de igualdad, sin discriminación, sin cuestionamientos sobre su identidad o expresión de género y en un entorno seguro, digno y respetuoso</w:t>
            </w:r>
            <w:r>
              <w:rPr>
                <w:rFonts w:cs="Arial"/>
                <w:szCs w:val="24"/>
              </w:rPr>
              <w:t>.</w:t>
            </w:r>
            <w:r w:rsidRPr="007A1941">
              <w:rPr>
                <w:rStyle w:val="Refdenotaalpie"/>
                <w:rFonts w:cs="Arial"/>
                <w:szCs w:val="24"/>
              </w:rPr>
              <w:footnoteReference w:id="12"/>
            </w:r>
          </w:p>
          <w:p w14:paraId="2B40BA19" w14:textId="2B48B019" w:rsidR="006D088A" w:rsidRPr="007A1941" w:rsidRDefault="006D088A" w:rsidP="006D088A">
            <w:pPr>
              <w:spacing w:line="276" w:lineRule="auto"/>
              <w:rPr>
                <w:rFonts w:cs="Arial"/>
                <w:szCs w:val="24"/>
              </w:rPr>
            </w:pPr>
          </w:p>
        </w:tc>
      </w:tr>
      <w:tr w:rsidR="006D088A" w:rsidRPr="007A1941" w14:paraId="51087362" w14:textId="77777777" w:rsidTr="00956D32">
        <w:trPr>
          <w:trHeight w:val="541"/>
        </w:trPr>
        <w:tc>
          <w:tcPr>
            <w:tcW w:w="2717" w:type="dxa"/>
          </w:tcPr>
          <w:p w14:paraId="3FD6CC72" w14:textId="37B2660C" w:rsidR="006D088A" w:rsidRPr="007A1941" w:rsidRDefault="006D088A" w:rsidP="006D088A">
            <w:pPr>
              <w:spacing w:line="276" w:lineRule="auto"/>
              <w:rPr>
                <w:rFonts w:eastAsia="Arial" w:cs="Arial"/>
                <w:b/>
                <w:szCs w:val="24"/>
              </w:rPr>
            </w:pPr>
            <w:r>
              <w:rPr>
                <w:rFonts w:eastAsia="Arial" w:cs="Arial"/>
                <w:b/>
                <w:szCs w:val="24"/>
              </w:rPr>
              <w:t>RE</w:t>
            </w:r>
          </w:p>
        </w:tc>
        <w:tc>
          <w:tcPr>
            <w:tcW w:w="6288" w:type="dxa"/>
          </w:tcPr>
          <w:p w14:paraId="2E6E1AD7" w14:textId="412D5748" w:rsidR="006D088A" w:rsidRPr="007A1941" w:rsidRDefault="006D088A" w:rsidP="006D088A">
            <w:pPr>
              <w:spacing w:line="276" w:lineRule="auto"/>
              <w:rPr>
                <w:rFonts w:eastAsia="Arial" w:cs="Arial"/>
                <w:szCs w:val="24"/>
              </w:rPr>
            </w:pPr>
            <w:r>
              <w:rPr>
                <w:rFonts w:eastAsia="Arial" w:cs="Arial"/>
                <w:szCs w:val="24"/>
              </w:rPr>
              <w:t xml:space="preserve">Reglamento de Elecciones del INE. </w:t>
            </w:r>
          </w:p>
        </w:tc>
      </w:tr>
      <w:tr w:rsidR="006D088A" w:rsidRPr="007A1941" w14:paraId="5F0F1705" w14:textId="77777777" w:rsidTr="00956D32">
        <w:trPr>
          <w:trHeight w:val="541"/>
        </w:trPr>
        <w:tc>
          <w:tcPr>
            <w:tcW w:w="2717" w:type="dxa"/>
          </w:tcPr>
          <w:p w14:paraId="508E229B" w14:textId="68D5AC3E" w:rsidR="006D088A" w:rsidRPr="007A1941" w:rsidRDefault="006D088A" w:rsidP="006D088A">
            <w:pPr>
              <w:spacing w:line="276" w:lineRule="auto"/>
              <w:rPr>
                <w:rFonts w:eastAsia="Arial" w:cs="Arial"/>
                <w:b/>
                <w:szCs w:val="24"/>
              </w:rPr>
            </w:pPr>
            <w:r w:rsidRPr="007A1941">
              <w:rPr>
                <w:rFonts w:eastAsia="Arial" w:cs="Arial"/>
                <w:b/>
                <w:szCs w:val="24"/>
              </w:rPr>
              <w:t>RM.</w:t>
            </w:r>
          </w:p>
        </w:tc>
        <w:tc>
          <w:tcPr>
            <w:tcW w:w="6288" w:type="dxa"/>
          </w:tcPr>
          <w:p w14:paraId="77D26F91" w14:textId="363400D2" w:rsidR="006D088A" w:rsidRPr="007A1941" w:rsidRDefault="006D088A" w:rsidP="006D088A">
            <w:pPr>
              <w:spacing w:line="276" w:lineRule="auto"/>
              <w:rPr>
                <w:rFonts w:eastAsia="Arial" w:cs="Arial"/>
                <w:szCs w:val="24"/>
              </w:rPr>
            </w:pPr>
            <w:r w:rsidRPr="007A1941">
              <w:rPr>
                <w:rFonts w:eastAsia="Arial" w:cs="Arial"/>
                <w:szCs w:val="24"/>
              </w:rPr>
              <w:t xml:space="preserve">Revocación de Mandato. </w:t>
            </w:r>
          </w:p>
        </w:tc>
      </w:tr>
      <w:tr w:rsidR="006D088A" w:rsidRPr="007A1941" w14:paraId="05BC46D3" w14:textId="77777777" w:rsidTr="00956D32">
        <w:trPr>
          <w:trHeight w:val="479"/>
        </w:trPr>
        <w:tc>
          <w:tcPr>
            <w:tcW w:w="2717" w:type="dxa"/>
          </w:tcPr>
          <w:p w14:paraId="7C5C3381" w14:textId="5ECB7E35" w:rsidR="006D088A" w:rsidRPr="007A1941" w:rsidRDefault="006D088A" w:rsidP="006D088A">
            <w:pPr>
              <w:spacing w:line="276" w:lineRule="auto"/>
              <w:rPr>
                <w:rFonts w:eastAsia="Arial" w:cs="Arial"/>
                <w:b/>
                <w:szCs w:val="24"/>
              </w:rPr>
            </w:pPr>
            <w:r w:rsidRPr="007A1941">
              <w:rPr>
                <w:rFonts w:eastAsia="Arial" w:cs="Arial"/>
                <w:b/>
                <w:szCs w:val="24"/>
              </w:rPr>
              <w:t>SE.</w:t>
            </w:r>
          </w:p>
        </w:tc>
        <w:tc>
          <w:tcPr>
            <w:tcW w:w="6288" w:type="dxa"/>
          </w:tcPr>
          <w:p w14:paraId="7830DDDC" w14:textId="3FB599C9" w:rsidR="006D088A" w:rsidRPr="007A1941" w:rsidRDefault="006D088A" w:rsidP="006D088A">
            <w:pPr>
              <w:spacing w:line="276" w:lineRule="auto"/>
              <w:rPr>
                <w:rFonts w:eastAsia="Arial" w:cs="Arial"/>
                <w:szCs w:val="24"/>
              </w:rPr>
            </w:pPr>
            <w:r w:rsidRPr="007A1941">
              <w:rPr>
                <w:rFonts w:eastAsia="Arial" w:cs="Arial"/>
                <w:szCs w:val="24"/>
              </w:rPr>
              <w:t>Secretaría Ejecutiva del IEEPCO.</w:t>
            </w:r>
          </w:p>
        </w:tc>
      </w:tr>
      <w:tr w:rsidR="006D088A" w:rsidRPr="007A1941" w14:paraId="4E48A122" w14:textId="77777777" w:rsidTr="00956D32">
        <w:trPr>
          <w:trHeight w:val="541"/>
        </w:trPr>
        <w:tc>
          <w:tcPr>
            <w:tcW w:w="2717" w:type="dxa"/>
          </w:tcPr>
          <w:p w14:paraId="4E3E6B32" w14:textId="18522C0A" w:rsidR="006D088A" w:rsidRPr="007A1941" w:rsidRDefault="006D088A" w:rsidP="006D088A">
            <w:pPr>
              <w:spacing w:line="276" w:lineRule="auto"/>
              <w:rPr>
                <w:rFonts w:eastAsia="Arial" w:cs="Arial"/>
                <w:b/>
                <w:szCs w:val="24"/>
              </w:rPr>
            </w:pPr>
            <w:r w:rsidRPr="007A1941">
              <w:rPr>
                <w:rFonts w:eastAsia="Arial" w:cs="Arial"/>
                <w:b/>
                <w:szCs w:val="24"/>
              </w:rPr>
              <w:t>UTCS.</w:t>
            </w:r>
          </w:p>
        </w:tc>
        <w:tc>
          <w:tcPr>
            <w:tcW w:w="6288" w:type="dxa"/>
          </w:tcPr>
          <w:p w14:paraId="4BA32ED6" w14:textId="6144EBF8" w:rsidR="006D088A" w:rsidRPr="007A1941" w:rsidRDefault="006D088A" w:rsidP="006D088A">
            <w:pPr>
              <w:spacing w:line="276" w:lineRule="auto"/>
              <w:rPr>
                <w:rFonts w:eastAsia="Arial" w:cs="Arial"/>
                <w:szCs w:val="24"/>
              </w:rPr>
            </w:pPr>
            <w:r w:rsidRPr="007A1941">
              <w:rPr>
                <w:rFonts w:eastAsia="Arial" w:cs="Arial"/>
                <w:szCs w:val="24"/>
              </w:rPr>
              <w:t>Unidad Técnica de Comunicación Social</w:t>
            </w:r>
            <w:r>
              <w:rPr>
                <w:rFonts w:eastAsia="Arial" w:cs="Arial"/>
                <w:szCs w:val="24"/>
              </w:rPr>
              <w:t xml:space="preserve"> del IEEPCO</w:t>
            </w:r>
            <w:r w:rsidRPr="007A1941">
              <w:rPr>
                <w:rFonts w:eastAsia="Arial" w:cs="Arial"/>
                <w:szCs w:val="24"/>
              </w:rPr>
              <w:t>.</w:t>
            </w:r>
          </w:p>
        </w:tc>
      </w:tr>
      <w:tr w:rsidR="006D088A" w:rsidRPr="007A1941" w14:paraId="6601A5ED" w14:textId="77777777" w:rsidTr="00956D32">
        <w:trPr>
          <w:trHeight w:val="541"/>
        </w:trPr>
        <w:tc>
          <w:tcPr>
            <w:tcW w:w="2717" w:type="dxa"/>
          </w:tcPr>
          <w:p w14:paraId="48C315E9" w14:textId="23702898" w:rsidR="006D088A" w:rsidRPr="007A1941" w:rsidRDefault="006D088A" w:rsidP="006D088A">
            <w:pPr>
              <w:spacing w:line="276" w:lineRule="auto"/>
              <w:rPr>
                <w:rFonts w:eastAsia="Arial" w:cs="Arial"/>
                <w:b/>
                <w:szCs w:val="24"/>
              </w:rPr>
            </w:pPr>
            <w:r w:rsidRPr="007A1941">
              <w:rPr>
                <w:rFonts w:eastAsia="Arial" w:cs="Arial"/>
                <w:b/>
                <w:szCs w:val="24"/>
              </w:rPr>
              <w:t>UTSID.</w:t>
            </w:r>
          </w:p>
        </w:tc>
        <w:tc>
          <w:tcPr>
            <w:tcW w:w="6288" w:type="dxa"/>
          </w:tcPr>
          <w:p w14:paraId="7F2C6A94" w14:textId="2E50FC27" w:rsidR="006D088A" w:rsidRPr="007A1941" w:rsidRDefault="006D088A" w:rsidP="006D088A">
            <w:pPr>
              <w:spacing w:line="276" w:lineRule="auto"/>
              <w:rPr>
                <w:rFonts w:eastAsia="Arial" w:cs="Arial"/>
                <w:szCs w:val="24"/>
              </w:rPr>
            </w:pPr>
            <w:r w:rsidRPr="007A1941">
              <w:rPr>
                <w:rFonts w:eastAsia="Arial" w:cs="Arial"/>
                <w:szCs w:val="24"/>
              </w:rPr>
              <w:t>Unidad Técnica de Servicios de Informática y Documentación</w:t>
            </w:r>
            <w:r>
              <w:rPr>
                <w:rFonts w:eastAsia="Arial" w:cs="Arial"/>
                <w:szCs w:val="24"/>
              </w:rPr>
              <w:t xml:space="preserve"> del IEEPCO</w:t>
            </w:r>
            <w:r w:rsidRPr="007A1941">
              <w:rPr>
                <w:rFonts w:eastAsia="Arial" w:cs="Arial"/>
                <w:szCs w:val="24"/>
              </w:rPr>
              <w:t>.</w:t>
            </w:r>
          </w:p>
        </w:tc>
      </w:tr>
    </w:tbl>
    <w:p w14:paraId="6B56FED1" w14:textId="77777777" w:rsidR="00E76010" w:rsidRPr="00F74C7F" w:rsidRDefault="00E76010" w:rsidP="00F74C7F">
      <w:pPr>
        <w:spacing w:after="0" w:line="276" w:lineRule="auto"/>
        <w:rPr>
          <w:rFonts w:cs="Arial"/>
          <w:b/>
          <w:bCs/>
          <w:szCs w:val="24"/>
        </w:rPr>
      </w:pPr>
    </w:p>
    <w:p w14:paraId="22818044" w14:textId="3D8D148C" w:rsidR="005B5C7B" w:rsidRPr="00844DDC" w:rsidRDefault="00140395" w:rsidP="00E76010">
      <w:pPr>
        <w:spacing w:after="0" w:line="276" w:lineRule="auto"/>
        <w:ind w:left="1018" w:right="590"/>
        <w:jc w:val="center"/>
        <w:rPr>
          <w:rFonts w:eastAsia="Arial" w:cs="Arial"/>
          <w:b/>
          <w:szCs w:val="24"/>
          <w:lang w:val="de-DE"/>
        </w:rPr>
      </w:pPr>
      <w:r w:rsidRPr="00844DDC">
        <w:rPr>
          <w:rFonts w:eastAsia="Arial" w:cs="Arial"/>
          <w:b/>
          <w:szCs w:val="24"/>
          <w:lang w:val="de-DE"/>
        </w:rPr>
        <w:t>A N T E C E D E N T E S</w:t>
      </w:r>
    </w:p>
    <w:p w14:paraId="536C9613" w14:textId="77777777" w:rsidR="002A5A93" w:rsidRPr="00844DDC" w:rsidRDefault="002A5A93" w:rsidP="00E76010">
      <w:pPr>
        <w:spacing w:after="0" w:line="276" w:lineRule="auto"/>
        <w:ind w:left="1018" w:right="590"/>
        <w:jc w:val="center"/>
        <w:rPr>
          <w:rFonts w:eastAsia="Arial" w:cs="Arial"/>
          <w:szCs w:val="24"/>
          <w:lang w:val="de-DE"/>
        </w:rPr>
      </w:pPr>
    </w:p>
    <w:p w14:paraId="3E043339" w14:textId="6E22A8F2" w:rsidR="008034F7" w:rsidRPr="008034F7" w:rsidRDefault="00673CB1" w:rsidP="00673CB1">
      <w:pPr>
        <w:pStyle w:val="Prrafodelista"/>
        <w:numPr>
          <w:ilvl w:val="0"/>
          <w:numId w:val="1"/>
        </w:numPr>
        <w:spacing w:after="0" w:line="276" w:lineRule="auto"/>
        <w:rPr>
          <w:rFonts w:cs="Arial"/>
          <w:b/>
          <w:bCs/>
          <w:szCs w:val="24"/>
        </w:rPr>
      </w:pPr>
      <w:r>
        <w:rPr>
          <w:rFonts w:cs="Arial"/>
          <w:szCs w:val="24"/>
        </w:rPr>
        <w:t>El</w:t>
      </w:r>
      <w:r w:rsidR="00F3077E">
        <w:rPr>
          <w:rFonts w:cs="Arial"/>
          <w:szCs w:val="24"/>
        </w:rPr>
        <w:t xml:space="preserve"> 22 de diciembre de 2017</w:t>
      </w:r>
      <w:r>
        <w:rPr>
          <w:rFonts w:cs="Arial"/>
          <w:szCs w:val="24"/>
        </w:rPr>
        <w:t xml:space="preserve"> el Consejo General de</w:t>
      </w:r>
      <w:r w:rsidR="00E34FEA">
        <w:rPr>
          <w:rFonts w:cs="Arial"/>
          <w:szCs w:val="24"/>
        </w:rPr>
        <w:t>l</w:t>
      </w:r>
      <w:r>
        <w:rPr>
          <w:rFonts w:cs="Arial"/>
          <w:szCs w:val="24"/>
        </w:rPr>
        <w:t xml:space="preserve"> INE</w:t>
      </w:r>
      <w:r w:rsidR="00A42825">
        <w:rPr>
          <w:rFonts w:cs="Arial"/>
          <w:szCs w:val="24"/>
        </w:rPr>
        <w:t>,</w:t>
      </w:r>
      <w:r>
        <w:rPr>
          <w:rFonts w:cs="Arial"/>
          <w:szCs w:val="24"/>
        </w:rPr>
        <w:t xml:space="preserve"> </w:t>
      </w:r>
      <w:r w:rsidR="00E34FEA">
        <w:rPr>
          <w:rFonts w:cs="Arial"/>
          <w:szCs w:val="24"/>
        </w:rPr>
        <w:t>mediante el</w:t>
      </w:r>
      <w:r>
        <w:rPr>
          <w:rFonts w:cs="Arial"/>
          <w:szCs w:val="24"/>
        </w:rPr>
        <w:t xml:space="preserve"> Acuerdo INE/CG</w:t>
      </w:r>
      <w:r w:rsidR="00AA2AEC">
        <w:rPr>
          <w:rFonts w:cs="Arial"/>
          <w:szCs w:val="24"/>
        </w:rPr>
        <w:t>626</w:t>
      </w:r>
      <w:r>
        <w:rPr>
          <w:rFonts w:cs="Arial"/>
          <w:szCs w:val="24"/>
        </w:rPr>
        <w:t>/20</w:t>
      </w:r>
      <w:r w:rsidR="00AA2AEC">
        <w:rPr>
          <w:rFonts w:cs="Arial"/>
          <w:szCs w:val="24"/>
        </w:rPr>
        <w:t>17</w:t>
      </w:r>
      <w:r w:rsidR="00AA2AEC">
        <w:rPr>
          <w:rStyle w:val="Refdenotaalpie"/>
          <w:rFonts w:cs="Arial"/>
          <w:szCs w:val="24"/>
        </w:rPr>
        <w:footnoteReference w:id="13"/>
      </w:r>
      <w:r w:rsidR="00A42825">
        <w:rPr>
          <w:rFonts w:cs="Arial"/>
          <w:szCs w:val="24"/>
        </w:rPr>
        <w:t>,</w:t>
      </w:r>
      <w:r>
        <w:rPr>
          <w:rFonts w:cs="Arial"/>
          <w:szCs w:val="24"/>
        </w:rPr>
        <w:t xml:space="preserve"> </w:t>
      </w:r>
      <w:r w:rsidR="00E34FEA">
        <w:rPr>
          <w:rFonts w:cs="Arial"/>
          <w:szCs w:val="24"/>
        </w:rPr>
        <w:t>aprobó</w:t>
      </w:r>
      <w:r w:rsidR="008034F7">
        <w:rPr>
          <w:rFonts w:cs="Arial"/>
          <w:szCs w:val="24"/>
        </w:rPr>
        <w:t xml:space="preserve"> el Protocolo para adoptar las medidas tendientes a garantizar a las personas trans el ejercicio del voto en igualdad de condiciones y sin discriminación en todos los tipos de elección y mecanismos de participación ciudadana. </w:t>
      </w:r>
    </w:p>
    <w:p w14:paraId="5ABC961A" w14:textId="77777777" w:rsidR="00673CB1" w:rsidRPr="008034F7" w:rsidRDefault="00673CB1" w:rsidP="008034F7">
      <w:pPr>
        <w:pStyle w:val="Prrafodelista"/>
        <w:spacing w:after="0" w:line="276" w:lineRule="auto"/>
        <w:rPr>
          <w:rFonts w:cs="Arial"/>
          <w:b/>
          <w:bCs/>
          <w:szCs w:val="24"/>
        </w:rPr>
      </w:pPr>
    </w:p>
    <w:p w14:paraId="1683114D" w14:textId="5EF2FA6A" w:rsidR="001520A3" w:rsidRPr="00384E6F" w:rsidRDefault="001520A3" w:rsidP="00F74C7F">
      <w:pPr>
        <w:pStyle w:val="Prrafodelista"/>
        <w:numPr>
          <w:ilvl w:val="0"/>
          <w:numId w:val="1"/>
        </w:numPr>
        <w:spacing w:after="0" w:line="276" w:lineRule="auto"/>
        <w:rPr>
          <w:rFonts w:cs="Arial"/>
          <w:b/>
          <w:bCs/>
          <w:szCs w:val="24"/>
        </w:rPr>
      </w:pPr>
      <w:r>
        <w:rPr>
          <w:rFonts w:cs="Arial"/>
          <w:szCs w:val="24"/>
        </w:rPr>
        <w:lastRenderedPageBreak/>
        <w:t xml:space="preserve">El </w:t>
      </w:r>
      <w:r w:rsidR="00673CB1">
        <w:rPr>
          <w:rFonts w:cs="Arial"/>
          <w:szCs w:val="24"/>
        </w:rPr>
        <w:t>8</w:t>
      </w:r>
      <w:r>
        <w:rPr>
          <w:rFonts w:cs="Arial"/>
          <w:szCs w:val="24"/>
        </w:rPr>
        <w:t xml:space="preserve"> de julio de </w:t>
      </w:r>
      <w:r w:rsidR="00851C9E">
        <w:rPr>
          <w:rFonts w:cs="Arial"/>
          <w:szCs w:val="24"/>
        </w:rPr>
        <w:t>2020 el Consejo General de</w:t>
      </w:r>
      <w:r w:rsidR="00E34FEA">
        <w:rPr>
          <w:rFonts w:cs="Arial"/>
          <w:szCs w:val="24"/>
        </w:rPr>
        <w:t>l</w:t>
      </w:r>
      <w:r w:rsidR="00851C9E">
        <w:rPr>
          <w:rFonts w:cs="Arial"/>
          <w:szCs w:val="24"/>
        </w:rPr>
        <w:t xml:space="preserve"> INE aprobó el Acuerdo INE/CG164/202</w:t>
      </w:r>
      <w:r w:rsidR="00DF7317">
        <w:rPr>
          <w:rFonts w:cs="Arial"/>
          <w:szCs w:val="24"/>
        </w:rPr>
        <w:t>0</w:t>
      </w:r>
      <w:r w:rsidR="000E5CE1">
        <w:rPr>
          <w:rStyle w:val="Refdenotaalpie"/>
          <w:rFonts w:cs="Arial"/>
          <w:szCs w:val="24"/>
        </w:rPr>
        <w:footnoteReference w:id="14"/>
      </w:r>
      <w:r w:rsidR="00851C9E">
        <w:rPr>
          <w:rFonts w:cs="Arial"/>
          <w:szCs w:val="24"/>
        </w:rPr>
        <w:t xml:space="preserve"> por el qu</w:t>
      </w:r>
      <w:r w:rsidR="00384E6F">
        <w:rPr>
          <w:rFonts w:cs="Arial"/>
          <w:szCs w:val="24"/>
        </w:rPr>
        <w:t xml:space="preserve">e se reformó el Reglamento de Elecciones y sus respectivos Anexos. En dicho acuerdo se establecieron nuevas alternativas que permitieron al INE implementar mecanismos informáticos o tecnológicos, para maximizar el derecho de la ciudadanía de participar en la Observación Electoral en los procesos electorales, así como facilitar el procedimiento de acreditación. </w:t>
      </w:r>
    </w:p>
    <w:p w14:paraId="20A94183" w14:textId="77777777" w:rsidR="00384E6F" w:rsidRPr="001520A3" w:rsidRDefault="00384E6F" w:rsidP="00384E6F">
      <w:pPr>
        <w:pStyle w:val="Prrafodelista"/>
        <w:spacing w:after="0" w:line="276" w:lineRule="auto"/>
        <w:rPr>
          <w:rFonts w:cs="Arial"/>
          <w:b/>
          <w:bCs/>
          <w:szCs w:val="24"/>
        </w:rPr>
      </w:pPr>
    </w:p>
    <w:p w14:paraId="66E5AEF3" w14:textId="1BC034A9" w:rsidR="00574BDA" w:rsidRPr="00F74C7F" w:rsidRDefault="0028783C" w:rsidP="00F74C7F">
      <w:pPr>
        <w:pStyle w:val="Prrafodelista"/>
        <w:numPr>
          <w:ilvl w:val="0"/>
          <w:numId w:val="1"/>
        </w:numPr>
        <w:spacing w:after="0" w:line="276" w:lineRule="auto"/>
        <w:rPr>
          <w:rFonts w:cs="Arial"/>
          <w:b/>
          <w:bCs/>
          <w:szCs w:val="24"/>
        </w:rPr>
      </w:pPr>
      <w:r>
        <w:rPr>
          <w:rFonts w:cs="Arial"/>
          <w:szCs w:val="24"/>
        </w:rPr>
        <w:t>El 15 de abril de 2011, m</w:t>
      </w:r>
      <w:r w:rsidR="009F130C" w:rsidRPr="00F74C7F">
        <w:rPr>
          <w:rFonts w:cs="Arial"/>
          <w:szCs w:val="24"/>
        </w:rPr>
        <w:t>ediante el decreto número 397, publicado en el periódico oficial del Estado</w:t>
      </w:r>
      <w:r w:rsidR="00981514" w:rsidRPr="00F74C7F">
        <w:rPr>
          <w:rStyle w:val="Refdenotaalpie"/>
          <w:rFonts w:cs="Arial"/>
          <w:szCs w:val="24"/>
        </w:rPr>
        <w:footnoteReference w:id="15"/>
      </w:r>
      <w:r w:rsidR="009F130C" w:rsidRPr="00F74C7F">
        <w:rPr>
          <w:rFonts w:cs="Arial"/>
          <w:szCs w:val="24"/>
        </w:rPr>
        <w:t xml:space="preserve">, la Sexagésima primera legislatura del Congreso del Estado reformó, entre otros, el artículo 25 de la Constitución Local, en cuyo apartado C, reconoció como mecanismos de participación ciudadana en el Estado la </w:t>
      </w:r>
      <w:r w:rsidR="008A12CF">
        <w:rPr>
          <w:rFonts w:cs="Arial"/>
          <w:szCs w:val="24"/>
        </w:rPr>
        <w:t>R</w:t>
      </w:r>
      <w:r w:rsidR="009F130C" w:rsidRPr="00F74C7F">
        <w:rPr>
          <w:rFonts w:cs="Arial"/>
          <w:szCs w:val="24"/>
        </w:rPr>
        <w:t xml:space="preserve">evocación de </w:t>
      </w:r>
      <w:r w:rsidR="00C05D72">
        <w:rPr>
          <w:rFonts w:cs="Arial"/>
          <w:szCs w:val="24"/>
        </w:rPr>
        <w:t>M</w:t>
      </w:r>
      <w:r w:rsidR="009F130C" w:rsidRPr="00F74C7F">
        <w:rPr>
          <w:rFonts w:cs="Arial"/>
          <w:szCs w:val="24"/>
        </w:rPr>
        <w:t>andato, así también, estableció las bases para su regulación legal.</w:t>
      </w:r>
    </w:p>
    <w:p w14:paraId="1ADF540D" w14:textId="77777777" w:rsidR="00263CF5" w:rsidRPr="00F74C7F" w:rsidRDefault="00263CF5" w:rsidP="00F74C7F">
      <w:pPr>
        <w:pStyle w:val="Prrafodelista"/>
        <w:spacing w:after="0" w:line="276" w:lineRule="auto"/>
        <w:rPr>
          <w:rFonts w:cs="Arial"/>
          <w:b/>
          <w:bCs/>
          <w:szCs w:val="24"/>
        </w:rPr>
      </w:pPr>
    </w:p>
    <w:p w14:paraId="228BEB30" w14:textId="7086CC5F" w:rsidR="00263CF5" w:rsidRPr="00F74C7F" w:rsidRDefault="00263CF5" w:rsidP="00F74C7F">
      <w:pPr>
        <w:pStyle w:val="Prrafodelista"/>
        <w:numPr>
          <w:ilvl w:val="0"/>
          <w:numId w:val="1"/>
        </w:numPr>
        <w:spacing w:after="0" w:line="276" w:lineRule="auto"/>
        <w:rPr>
          <w:rFonts w:cs="Arial"/>
          <w:b/>
          <w:bCs/>
          <w:szCs w:val="24"/>
        </w:rPr>
      </w:pPr>
      <w:r w:rsidRPr="00F74C7F">
        <w:rPr>
          <w:rFonts w:cs="Arial"/>
          <w:szCs w:val="24"/>
        </w:rPr>
        <w:t xml:space="preserve">El </w:t>
      </w:r>
      <w:r w:rsidR="0028783C">
        <w:rPr>
          <w:rFonts w:cs="Arial"/>
          <w:szCs w:val="24"/>
        </w:rPr>
        <w:t xml:space="preserve">20 de diciembre de 2019 </w:t>
      </w:r>
      <w:r w:rsidRPr="00F74C7F">
        <w:rPr>
          <w:rFonts w:cs="Arial"/>
          <w:szCs w:val="24"/>
        </w:rPr>
        <w:t xml:space="preserve">se publicó en el Diario Oficial de la Federación el Decreto mediante el cual se adiciona la fracción IX del artículo 35; inciso c), al Apartado B de la Base V del artículo 41; un párrafo séptimo al artículo 84; y, un tercer párrafo a la fracción III del Apartado A del artículo 122 de la Constitución Local; todas ellas para regular la figura de </w:t>
      </w:r>
      <w:r w:rsidR="008A12CF">
        <w:rPr>
          <w:rFonts w:cs="Arial"/>
          <w:szCs w:val="24"/>
        </w:rPr>
        <w:t>R</w:t>
      </w:r>
      <w:r w:rsidRPr="00F74C7F">
        <w:rPr>
          <w:rFonts w:cs="Arial"/>
          <w:szCs w:val="24"/>
        </w:rPr>
        <w:t xml:space="preserve">evocación de </w:t>
      </w:r>
      <w:r w:rsidR="008A12CF">
        <w:rPr>
          <w:rFonts w:cs="Arial"/>
          <w:szCs w:val="24"/>
        </w:rPr>
        <w:t>M</w:t>
      </w:r>
      <w:r w:rsidRPr="00F74C7F">
        <w:rPr>
          <w:rFonts w:cs="Arial"/>
          <w:szCs w:val="24"/>
        </w:rPr>
        <w:t>andato.</w:t>
      </w:r>
    </w:p>
    <w:p w14:paraId="2B2FAB34" w14:textId="77777777" w:rsidR="009F3285" w:rsidRPr="00F74C7F" w:rsidRDefault="009F3285" w:rsidP="00F74C7F">
      <w:pPr>
        <w:pStyle w:val="Prrafodelista"/>
        <w:spacing w:after="0" w:line="276" w:lineRule="auto"/>
        <w:rPr>
          <w:rFonts w:cs="Arial"/>
          <w:b/>
          <w:bCs/>
          <w:szCs w:val="24"/>
        </w:rPr>
      </w:pPr>
    </w:p>
    <w:p w14:paraId="782C4342" w14:textId="605219CC" w:rsidR="006E040D" w:rsidRPr="006E040D" w:rsidRDefault="00C4068E" w:rsidP="006E040D">
      <w:pPr>
        <w:pStyle w:val="Prrafodelista"/>
        <w:numPr>
          <w:ilvl w:val="0"/>
          <w:numId w:val="1"/>
        </w:numPr>
        <w:spacing w:after="0" w:line="276" w:lineRule="auto"/>
        <w:rPr>
          <w:rFonts w:cs="Arial"/>
          <w:szCs w:val="24"/>
        </w:rPr>
      </w:pPr>
      <w:r w:rsidRPr="006E040D">
        <w:rPr>
          <w:rFonts w:cs="Arial"/>
          <w:szCs w:val="24"/>
        </w:rPr>
        <w:t xml:space="preserve">El 10 de diciembre de 2021 el Tribunal Electoral del Estado de Oaxaca dictó sentencia en el expediente </w:t>
      </w:r>
      <w:r w:rsidR="00EF3ACA" w:rsidRPr="006E040D">
        <w:rPr>
          <w:rFonts w:cs="Arial"/>
          <w:szCs w:val="24"/>
        </w:rPr>
        <w:t>JDC-264-2021</w:t>
      </w:r>
      <w:r w:rsidR="0083033F">
        <w:rPr>
          <w:rStyle w:val="Refdenotaalpie"/>
          <w:rFonts w:cs="Arial"/>
          <w:szCs w:val="24"/>
        </w:rPr>
        <w:footnoteReference w:id="16"/>
      </w:r>
      <w:r w:rsidR="003D28BD" w:rsidRPr="006E040D">
        <w:rPr>
          <w:rFonts w:cs="Arial"/>
          <w:szCs w:val="24"/>
        </w:rPr>
        <w:t xml:space="preserve">, </w:t>
      </w:r>
      <w:r w:rsidR="006E040D" w:rsidRPr="006E040D">
        <w:rPr>
          <w:rFonts w:cs="Arial"/>
          <w:szCs w:val="24"/>
        </w:rPr>
        <w:t xml:space="preserve">mediante la cual ordenó al Consejo General del Instituto Estatal Electoral y de Participación Ciudadana de Oaxaca que, dentro del plazo de cinco días hábiles contados a partir del día siguiente en que surtiera efectos la notificación respectiva, realizara </w:t>
      </w:r>
      <w:r w:rsidR="006E040D" w:rsidRPr="006E040D">
        <w:rPr>
          <w:rFonts w:cs="Arial"/>
          <w:b/>
          <w:bCs/>
          <w:szCs w:val="24"/>
        </w:rPr>
        <w:t>los ajustes razonables idóneos y suficientes</w:t>
      </w:r>
      <w:r w:rsidR="006E040D" w:rsidRPr="006E040D">
        <w:rPr>
          <w:rFonts w:cs="Arial"/>
          <w:szCs w:val="24"/>
        </w:rPr>
        <w:t xml:space="preserve"> para garantizar que la convocatoria impugnada fuera accesible para personas con discapacidad visual.</w:t>
      </w:r>
    </w:p>
    <w:p w14:paraId="551D36AF" w14:textId="77777777" w:rsidR="006E040D" w:rsidRPr="006E040D" w:rsidRDefault="006E040D" w:rsidP="006E040D">
      <w:pPr>
        <w:pStyle w:val="Prrafodelista"/>
        <w:spacing w:after="0" w:line="276" w:lineRule="auto"/>
        <w:rPr>
          <w:rFonts w:cs="Arial"/>
          <w:szCs w:val="24"/>
        </w:rPr>
      </w:pPr>
    </w:p>
    <w:p w14:paraId="376D02DD" w14:textId="5CC7AD37" w:rsidR="00C4068E" w:rsidRPr="006E040D" w:rsidRDefault="006E040D" w:rsidP="006E040D">
      <w:pPr>
        <w:pStyle w:val="Prrafodelista"/>
        <w:spacing w:after="0" w:line="276" w:lineRule="auto"/>
        <w:rPr>
          <w:rFonts w:cs="Arial"/>
          <w:b/>
          <w:bCs/>
          <w:i/>
          <w:iCs/>
          <w:szCs w:val="24"/>
        </w:rPr>
      </w:pPr>
      <w:r w:rsidRPr="006E040D">
        <w:rPr>
          <w:rFonts w:cs="Arial"/>
          <w:szCs w:val="24"/>
        </w:rPr>
        <w:t xml:space="preserve">El Tribunal determinó que dichos ajustes debían elaborarse tomando en consideración la capacidad operativa y presupuestal del Instituto, e incluir uno o varios formatos adicionales al sistema de lectura y escritura Braille, asegurando que la versión o versiones accesibles estuvieran dirigidas a la totalidad de las personas con discapacidad visual, desde aquellas con baja visión moderada hasta quienes presentan ceguera total. Lo anterior, con independencia de la versión en Braille solicitada por la parte actora, a fin de </w:t>
      </w:r>
      <w:r w:rsidRPr="006E040D">
        <w:rPr>
          <w:rFonts w:cs="Arial"/>
          <w:szCs w:val="24"/>
        </w:rPr>
        <w:lastRenderedPageBreak/>
        <w:t>garantizar el acceso efectivo a la información y el ejercicio de sus derechos político-electorales.</w:t>
      </w:r>
    </w:p>
    <w:p w14:paraId="1180E8C8" w14:textId="77777777" w:rsidR="006E040D" w:rsidRPr="006E040D" w:rsidRDefault="006E040D" w:rsidP="006E040D">
      <w:pPr>
        <w:pStyle w:val="Prrafodelista"/>
        <w:spacing w:after="0" w:line="276" w:lineRule="auto"/>
        <w:rPr>
          <w:rFonts w:cs="Arial"/>
          <w:b/>
          <w:bCs/>
          <w:i/>
          <w:iCs/>
          <w:szCs w:val="24"/>
        </w:rPr>
      </w:pPr>
    </w:p>
    <w:p w14:paraId="3883A9B5" w14:textId="48B48B97" w:rsidR="000D0F96" w:rsidRPr="00494E0A" w:rsidRDefault="009F3285" w:rsidP="00F74C7F">
      <w:pPr>
        <w:pStyle w:val="Prrafodelista"/>
        <w:numPr>
          <w:ilvl w:val="0"/>
          <w:numId w:val="1"/>
        </w:numPr>
        <w:spacing w:after="0" w:line="276" w:lineRule="auto"/>
        <w:rPr>
          <w:rFonts w:cs="Arial"/>
          <w:b/>
          <w:bCs/>
          <w:szCs w:val="24"/>
        </w:rPr>
      </w:pPr>
      <w:r w:rsidRPr="00F74C7F">
        <w:rPr>
          <w:rFonts w:cs="Arial"/>
          <w:szCs w:val="24"/>
        </w:rPr>
        <w:t xml:space="preserve">El </w:t>
      </w:r>
      <w:r w:rsidR="00CD2036">
        <w:rPr>
          <w:rFonts w:cs="Arial"/>
          <w:szCs w:val="24"/>
        </w:rPr>
        <w:t xml:space="preserve">30 de enero de 2023 </w:t>
      </w:r>
      <w:r w:rsidRPr="00F74C7F">
        <w:rPr>
          <w:rFonts w:cs="Arial"/>
          <w:szCs w:val="24"/>
        </w:rPr>
        <w:t>se publicó en el Periódico Oficial del Gobierno del Estado de Oaxaca el Decreto número 782, emitido por la Sexagésima Quinta Legislatura local, mediante el cual se expidió la Ley de Revocación de Mandato para el Estado de Oaxaca</w:t>
      </w:r>
      <w:r w:rsidR="00287AC6" w:rsidRPr="00F74C7F">
        <w:rPr>
          <w:rFonts w:cs="Arial"/>
          <w:szCs w:val="24"/>
        </w:rPr>
        <w:t>.</w:t>
      </w:r>
    </w:p>
    <w:p w14:paraId="04F85722" w14:textId="77777777" w:rsidR="00494E0A" w:rsidRPr="00494E0A" w:rsidRDefault="00494E0A" w:rsidP="00494E0A">
      <w:pPr>
        <w:pStyle w:val="Prrafodelista"/>
        <w:spacing w:after="0" w:line="276" w:lineRule="auto"/>
        <w:rPr>
          <w:rFonts w:cs="Arial"/>
          <w:b/>
          <w:bCs/>
          <w:szCs w:val="24"/>
        </w:rPr>
      </w:pPr>
    </w:p>
    <w:p w14:paraId="3A068AAB" w14:textId="1EA3AC09" w:rsidR="00494E0A" w:rsidRPr="00E82D24" w:rsidRDefault="00CF0D04" w:rsidP="00F74C7F">
      <w:pPr>
        <w:pStyle w:val="Prrafodelista"/>
        <w:numPr>
          <w:ilvl w:val="0"/>
          <w:numId w:val="1"/>
        </w:numPr>
        <w:spacing w:after="0" w:line="276" w:lineRule="auto"/>
        <w:rPr>
          <w:rFonts w:cs="Arial"/>
          <w:b/>
          <w:bCs/>
          <w:szCs w:val="24"/>
        </w:rPr>
      </w:pPr>
      <w:r>
        <w:rPr>
          <w:rFonts w:cs="Arial"/>
          <w:szCs w:val="24"/>
        </w:rPr>
        <w:t>El 21 de julio de 2023 la Sala Superior del TEPJF dictó sentencia del expediente SUP-JDC-220/2023</w:t>
      </w:r>
      <w:r w:rsidR="00E04443">
        <w:rPr>
          <w:rStyle w:val="Refdenotaalpie"/>
          <w:rFonts w:cs="Arial"/>
          <w:szCs w:val="24"/>
        </w:rPr>
        <w:footnoteReference w:id="17"/>
      </w:r>
      <w:r>
        <w:rPr>
          <w:rFonts w:cs="Arial"/>
          <w:szCs w:val="24"/>
        </w:rPr>
        <w:t xml:space="preserve"> en la que resolvió, entre otras cosas, que a fin de garantizar el derecho de las personas con alguna discapacidad</w:t>
      </w:r>
      <w:r w:rsidR="00830958">
        <w:rPr>
          <w:rFonts w:cs="Arial"/>
          <w:szCs w:val="24"/>
        </w:rPr>
        <w:t xml:space="preserve">, es procedente vincular al INE, para que, en el ámbito de su competencia prevea y ordene las medidas necesarias para la difusión de las convocatorias a observadoras/es electorales en los modelos necesarios </w:t>
      </w:r>
      <w:r w:rsidR="00ED7BDC">
        <w:rPr>
          <w:rFonts w:cs="Arial"/>
          <w:szCs w:val="24"/>
        </w:rPr>
        <w:t>que garantice</w:t>
      </w:r>
      <w:r w:rsidR="0028783C">
        <w:rPr>
          <w:rFonts w:cs="Arial"/>
          <w:szCs w:val="24"/>
        </w:rPr>
        <w:t>n</w:t>
      </w:r>
      <w:r w:rsidR="00ED7BDC">
        <w:rPr>
          <w:rFonts w:cs="Arial"/>
          <w:szCs w:val="24"/>
        </w:rPr>
        <w:t xml:space="preserve"> el conocimiento de las mismas a las personas </w:t>
      </w:r>
      <w:r w:rsidR="0028783C">
        <w:rPr>
          <w:rFonts w:cs="Arial"/>
          <w:szCs w:val="24"/>
        </w:rPr>
        <w:t xml:space="preserve">que cuenten con alguna discapacidad. </w:t>
      </w:r>
    </w:p>
    <w:p w14:paraId="0EFB45B9" w14:textId="77777777" w:rsidR="00E82D24" w:rsidRPr="00F74C7F" w:rsidRDefault="00E82D24" w:rsidP="00E82D24">
      <w:pPr>
        <w:pStyle w:val="Prrafodelista"/>
        <w:spacing w:after="0" w:line="276" w:lineRule="auto"/>
        <w:rPr>
          <w:rFonts w:cs="Arial"/>
          <w:b/>
          <w:bCs/>
          <w:szCs w:val="24"/>
        </w:rPr>
      </w:pPr>
    </w:p>
    <w:p w14:paraId="30425364" w14:textId="5D1204F1" w:rsidR="009F3285" w:rsidRPr="00F74C7F" w:rsidRDefault="004D01C6" w:rsidP="00F74C7F">
      <w:pPr>
        <w:pStyle w:val="Prrafodelista"/>
        <w:numPr>
          <w:ilvl w:val="0"/>
          <w:numId w:val="1"/>
        </w:numPr>
        <w:spacing w:after="0" w:line="276" w:lineRule="auto"/>
        <w:rPr>
          <w:rFonts w:cs="Arial"/>
          <w:b/>
          <w:bCs/>
          <w:szCs w:val="24"/>
        </w:rPr>
      </w:pPr>
      <w:r w:rsidRPr="00F74C7F">
        <w:rPr>
          <w:rFonts w:cs="Arial"/>
          <w:szCs w:val="24"/>
        </w:rPr>
        <w:t xml:space="preserve">El </w:t>
      </w:r>
      <w:r w:rsidR="0034070A">
        <w:rPr>
          <w:rFonts w:cs="Arial"/>
          <w:szCs w:val="24"/>
        </w:rPr>
        <w:t>09 de septiembre de 2025,</w:t>
      </w:r>
      <w:r w:rsidRPr="00F74C7F">
        <w:rPr>
          <w:rFonts w:cs="Arial"/>
          <w:szCs w:val="24"/>
        </w:rPr>
        <w:t xml:space="preserve"> la Sexagésima Sexta Legislatura Constitucional del Estado Libre y Soberano de Oaxaca, mediante decreto número 753, reformó el inciso a), los párrafos primero y segundo del inciso b), y el inciso c); adicionó los párrafos tercero y cuarto al inciso b); y derogó el párrafo segundo del inciso a), todos de la fracción III, apartado C, del artículo 25 de la Constitución Local. </w:t>
      </w:r>
    </w:p>
    <w:p w14:paraId="355CC20C" w14:textId="77777777" w:rsidR="00D83F97" w:rsidRPr="00F74C7F" w:rsidRDefault="00D83F97" w:rsidP="00F74C7F">
      <w:pPr>
        <w:pStyle w:val="Prrafodelista"/>
        <w:spacing w:after="0" w:line="276" w:lineRule="auto"/>
        <w:rPr>
          <w:rFonts w:cs="Arial"/>
          <w:b/>
          <w:bCs/>
          <w:szCs w:val="24"/>
        </w:rPr>
      </w:pPr>
    </w:p>
    <w:p w14:paraId="3C9A0083" w14:textId="470F1524" w:rsidR="00D83F97" w:rsidRPr="00F74C7F" w:rsidRDefault="00D83F97" w:rsidP="00F74C7F">
      <w:pPr>
        <w:pStyle w:val="Prrafodelista"/>
        <w:numPr>
          <w:ilvl w:val="0"/>
          <w:numId w:val="1"/>
        </w:numPr>
        <w:spacing w:after="0" w:line="276" w:lineRule="auto"/>
        <w:rPr>
          <w:rFonts w:cs="Arial"/>
          <w:b/>
          <w:bCs/>
          <w:szCs w:val="24"/>
        </w:rPr>
      </w:pPr>
      <w:r w:rsidRPr="00F74C7F">
        <w:rPr>
          <w:rFonts w:cs="Arial"/>
          <w:szCs w:val="24"/>
        </w:rPr>
        <w:t>En la misma fecha el Congreso del Estado reformó los artículos 7, 9, 22 y 28; los párrafos primero y segundo del artículo 11; la fracción V del artículo 19; y el segundo párrafo del artículo 40 de la Ley de Revocación de Mandato para el Estado de Oaxaca, mediante Decreto No. 754.</w:t>
      </w:r>
    </w:p>
    <w:p w14:paraId="3585BAE6" w14:textId="77777777" w:rsidR="000D196D" w:rsidRPr="00F74C7F" w:rsidRDefault="000D196D" w:rsidP="00F74C7F">
      <w:pPr>
        <w:pStyle w:val="Prrafodelista"/>
        <w:spacing w:after="0" w:line="276" w:lineRule="auto"/>
        <w:rPr>
          <w:rFonts w:cs="Arial"/>
          <w:b/>
          <w:bCs/>
          <w:szCs w:val="24"/>
        </w:rPr>
      </w:pPr>
    </w:p>
    <w:p w14:paraId="1CF39576" w14:textId="395F5C8A" w:rsidR="000D196D" w:rsidRPr="00F74C7F" w:rsidRDefault="00527F6B" w:rsidP="00F74C7F">
      <w:pPr>
        <w:pStyle w:val="Prrafodelista"/>
        <w:numPr>
          <w:ilvl w:val="0"/>
          <w:numId w:val="1"/>
        </w:numPr>
        <w:spacing w:after="0" w:line="276" w:lineRule="auto"/>
        <w:rPr>
          <w:rFonts w:cs="Arial"/>
          <w:b/>
          <w:bCs/>
          <w:szCs w:val="24"/>
        </w:rPr>
      </w:pPr>
      <w:r w:rsidRPr="00F74C7F">
        <w:rPr>
          <w:rFonts w:cs="Arial"/>
          <w:szCs w:val="24"/>
        </w:rPr>
        <w:t xml:space="preserve">El </w:t>
      </w:r>
      <w:r w:rsidR="0034070A">
        <w:rPr>
          <w:rFonts w:cs="Arial"/>
          <w:szCs w:val="24"/>
        </w:rPr>
        <w:t>10 de octubre de 2025,</w:t>
      </w:r>
      <w:r w:rsidR="00D935F9" w:rsidRPr="00F74C7F">
        <w:rPr>
          <w:rFonts w:cs="Arial"/>
          <w:szCs w:val="24"/>
        </w:rPr>
        <w:t xml:space="preserve"> en sesión extraordinaria</w:t>
      </w:r>
      <w:r w:rsidR="00A815FA" w:rsidRPr="00F74C7F">
        <w:rPr>
          <w:rFonts w:cs="Arial"/>
          <w:szCs w:val="24"/>
        </w:rPr>
        <w:t xml:space="preserve">, el Consejo General del IEEPCO aprobó </w:t>
      </w:r>
      <w:r w:rsidR="009732E2" w:rsidRPr="00F74C7F">
        <w:rPr>
          <w:rFonts w:cs="Arial"/>
          <w:szCs w:val="24"/>
        </w:rPr>
        <w:t>por unanimidad de votos en lo general</w:t>
      </w:r>
      <w:r w:rsidR="00100343" w:rsidRPr="00F74C7F">
        <w:rPr>
          <w:rFonts w:cs="Arial"/>
          <w:szCs w:val="24"/>
        </w:rPr>
        <w:t xml:space="preserve"> y mayoría de votos en lo particular, el acuerdo IEEPCO-CG-23/2025</w:t>
      </w:r>
      <w:r w:rsidR="00F6006A" w:rsidRPr="00F74C7F">
        <w:rPr>
          <w:rFonts w:cs="Arial"/>
          <w:szCs w:val="24"/>
        </w:rPr>
        <w:t xml:space="preserve"> por el que se aprueban los </w:t>
      </w:r>
      <w:r w:rsidR="00CF6759">
        <w:rPr>
          <w:rFonts w:cs="Arial"/>
          <w:szCs w:val="24"/>
        </w:rPr>
        <w:t>L</w:t>
      </w:r>
      <w:r w:rsidR="00F6006A" w:rsidRPr="00F74C7F">
        <w:rPr>
          <w:rFonts w:cs="Arial"/>
          <w:szCs w:val="24"/>
        </w:rPr>
        <w:t xml:space="preserve">ineamientos para el proceso de solicitud de </w:t>
      </w:r>
      <w:r w:rsidR="00CF6759">
        <w:rPr>
          <w:rFonts w:cs="Arial"/>
          <w:szCs w:val="24"/>
        </w:rPr>
        <w:t>R</w:t>
      </w:r>
      <w:r w:rsidR="00F6006A" w:rsidRPr="00F74C7F">
        <w:rPr>
          <w:rFonts w:cs="Arial"/>
          <w:szCs w:val="24"/>
        </w:rPr>
        <w:t xml:space="preserve">evocación de </w:t>
      </w:r>
      <w:r w:rsidR="00CF6759">
        <w:rPr>
          <w:rFonts w:cs="Arial"/>
          <w:szCs w:val="24"/>
        </w:rPr>
        <w:t>M</w:t>
      </w:r>
      <w:r w:rsidR="00F6006A" w:rsidRPr="00F74C7F">
        <w:rPr>
          <w:rFonts w:cs="Arial"/>
          <w:szCs w:val="24"/>
        </w:rPr>
        <w:t xml:space="preserve">andato de la persona titular de la gubernatura del estado de Oaxaca, para el periodo constitucional 2022-2028. </w:t>
      </w:r>
    </w:p>
    <w:p w14:paraId="155CB0D0" w14:textId="77777777" w:rsidR="00F6006A" w:rsidRPr="00F74C7F" w:rsidRDefault="00F6006A" w:rsidP="00F74C7F">
      <w:pPr>
        <w:pStyle w:val="Prrafodelista"/>
        <w:spacing w:after="0" w:line="276" w:lineRule="auto"/>
        <w:rPr>
          <w:rFonts w:cs="Arial"/>
          <w:b/>
          <w:bCs/>
          <w:szCs w:val="24"/>
        </w:rPr>
      </w:pPr>
    </w:p>
    <w:p w14:paraId="08C13B42" w14:textId="26093B0A" w:rsidR="00F6006A" w:rsidRPr="00F74C7F" w:rsidRDefault="00F6006A" w:rsidP="00F74C7F">
      <w:pPr>
        <w:pStyle w:val="Prrafodelista"/>
        <w:numPr>
          <w:ilvl w:val="0"/>
          <w:numId w:val="1"/>
        </w:numPr>
        <w:spacing w:after="0" w:line="276" w:lineRule="auto"/>
        <w:rPr>
          <w:rFonts w:cs="Arial"/>
          <w:b/>
          <w:bCs/>
          <w:szCs w:val="24"/>
        </w:rPr>
      </w:pPr>
      <w:r w:rsidRPr="00F74C7F">
        <w:rPr>
          <w:rFonts w:cs="Arial"/>
          <w:szCs w:val="24"/>
        </w:rPr>
        <w:t xml:space="preserve">En la misma fecha, en sesión extraordinaria, el Consejo General del IEEPCO aprobó por unanimidad de votos el </w:t>
      </w:r>
      <w:r w:rsidR="00A853AF">
        <w:rPr>
          <w:rFonts w:cs="Arial"/>
          <w:szCs w:val="24"/>
        </w:rPr>
        <w:t>A</w:t>
      </w:r>
      <w:r w:rsidRPr="00F74C7F">
        <w:rPr>
          <w:rFonts w:cs="Arial"/>
          <w:szCs w:val="24"/>
        </w:rPr>
        <w:t>cuerdo IEEPCO-CG-2</w:t>
      </w:r>
      <w:r w:rsidR="00D97960" w:rsidRPr="00F74C7F">
        <w:rPr>
          <w:rFonts w:cs="Arial"/>
          <w:szCs w:val="24"/>
        </w:rPr>
        <w:t>4</w:t>
      </w:r>
      <w:r w:rsidRPr="00F74C7F">
        <w:rPr>
          <w:rFonts w:cs="Arial"/>
          <w:szCs w:val="24"/>
        </w:rPr>
        <w:t xml:space="preserve">/2025 por el que se aprueban los </w:t>
      </w:r>
      <w:r w:rsidR="00CF6759">
        <w:rPr>
          <w:rFonts w:cs="Arial"/>
          <w:szCs w:val="24"/>
        </w:rPr>
        <w:t>L</w:t>
      </w:r>
      <w:r w:rsidRPr="00F74C7F">
        <w:rPr>
          <w:rFonts w:cs="Arial"/>
          <w:szCs w:val="24"/>
        </w:rPr>
        <w:t xml:space="preserve">ineamientos </w:t>
      </w:r>
      <w:r w:rsidR="00D97960" w:rsidRPr="00F74C7F">
        <w:rPr>
          <w:rFonts w:cs="Arial"/>
          <w:szCs w:val="24"/>
        </w:rPr>
        <w:t xml:space="preserve">del Instituto Estatal Electoral y de Participación Ciudadana de Oaxaca para la organización, desarrollo y vigilancia de los </w:t>
      </w:r>
      <w:r w:rsidR="00D97960" w:rsidRPr="00F74C7F">
        <w:rPr>
          <w:rFonts w:cs="Arial"/>
          <w:szCs w:val="24"/>
        </w:rPr>
        <w:lastRenderedPageBreak/>
        <w:t xml:space="preserve">actos previos y el proceso de </w:t>
      </w:r>
      <w:r w:rsidR="00A7507A">
        <w:rPr>
          <w:rFonts w:cs="Arial"/>
          <w:szCs w:val="24"/>
        </w:rPr>
        <w:t>R</w:t>
      </w:r>
      <w:r w:rsidR="00D97960" w:rsidRPr="00F74C7F">
        <w:rPr>
          <w:rFonts w:cs="Arial"/>
          <w:szCs w:val="24"/>
        </w:rPr>
        <w:t xml:space="preserve">evocación de </w:t>
      </w:r>
      <w:r w:rsidR="00A7507A">
        <w:rPr>
          <w:rFonts w:cs="Arial"/>
          <w:szCs w:val="24"/>
        </w:rPr>
        <w:t>M</w:t>
      </w:r>
      <w:r w:rsidR="00D97960" w:rsidRPr="00F74C7F">
        <w:rPr>
          <w:rFonts w:cs="Arial"/>
          <w:szCs w:val="24"/>
        </w:rPr>
        <w:t xml:space="preserve">andato </w:t>
      </w:r>
      <w:r w:rsidRPr="00F74C7F">
        <w:rPr>
          <w:rFonts w:cs="Arial"/>
          <w:szCs w:val="24"/>
        </w:rPr>
        <w:t xml:space="preserve">de la persona titular de la gubernatura del estado de Oaxaca, para el periodo constitucional 2022-2028.  </w:t>
      </w:r>
    </w:p>
    <w:p w14:paraId="6EB68B68" w14:textId="77777777" w:rsidR="00A464C4" w:rsidRPr="00F74C7F" w:rsidRDefault="00A464C4" w:rsidP="00F74C7F">
      <w:pPr>
        <w:pStyle w:val="Prrafodelista"/>
        <w:spacing w:after="0" w:line="276" w:lineRule="auto"/>
        <w:rPr>
          <w:rFonts w:cs="Arial"/>
          <w:b/>
          <w:bCs/>
          <w:szCs w:val="24"/>
        </w:rPr>
      </w:pPr>
    </w:p>
    <w:p w14:paraId="27050C49" w14:textId="13E45FA5" w:rsidR="00366D2E" w:rsidRPr="00F74C7F" w:rsidRDefault="00A464C4" w:rsidP="00F74C7F">
      <w:pPr>
        <w:pStyle w:val="Prrafodelista"/>
        <w:numPr>
          <w:ilvl w:val="0"/>
          <w:numId w:val="1"/>
        </w:numPr>
        <w:spacing w:after="0" w:line="276" w:lineRule="auto"/>
        <w:rPr>
          <w:rFonts w:cs="Arial"/>
          <w:b/>
          <w:bCs/>
          <w:szCs w:val="24"/>
        </w:rPr>
      </w:pPr>
      <w:r w:rsidRPr="00F74C7F">
        <w:rPr>
          <w:rFonts w:cs="Arial"/>
          <w:szCs w:val="24"/>
        </w:rPr>
        <w:t xml:space="preserve">El </w:t>
      </w:r>
      <w:r w:rsidR="0034070A">
        <w:rPr>
          <w:rFonts w:cs="Arial"/>
          <w:szCs w:val="24"/>
        </w:rPr>
        <w:t>10</w:t>
      </w:r>
      <w:r w:rsidR="00366D2E" w:rsidRPr="00F74C7F">
        <w:rPr>
          <w:rFonts w:cs="Arial"/>
          <w:szCs w:val="24"/>
        </w:rPr>
        <w:t xml:space="preserve"> de noviembre de </w:t>
      </w:r>
      <w:r w:rsidR="0034070A">
        <w:rPr>
          <w:rFonts w:cs="Arial"/>
          <w:szCs w:val="24"/>
        </w:rPr>
        <w:t xml:space="preserve">2025 </w:t>
      </w:r>
      <w:r w:rsidR="00366D2E" w:rsidRPr="00F74C7F">
        <w:rPr>
          <w:rFonts w:cs="Arial"/>
          <w:szCs w:val="24"/>
        </w:rPr>
        <w:t xml:space="preserve">el Consejo General del IEEPCO aprobó por unanimidad de votos el </w:t>
      </w:r>
      <w:r w:rsidR="008A12CF">
        <w:rPr>
          <w:rFonts w:cs="Arial"/>
          <w:szCs w:val="24"/>
        </w:rPr>
        <w:t>A</w:t>
      </w:r>
      <w:r w:rsidR="00366D2E" w:rsidRPr="00F74C7F">
        <w:rPr>
          <w:rFonts w:cs="Arial"/>
          <w:szCs w:val="24"/>
        </w:rPr>
        <w:t xml:space="preserve">cuerdo IEEPCO-CG-28/2025 por el que se </w:t>
      </w:r>
      <w:r w:rsidR="00836C0F" w:rsidRPr="00F74C7F">
        <w:rPr>
          <w:rFonts w:cs="Arial"/>
          <w:szCs w:val="24"/>
        </w:rPr>
        <w:t xml:space="preserve">aprueba la convocatoria para la designación de las y los integrantes de los Consejos Distritales que fungirán en la </w:t>
      </w:r>
      <w:r w:rsidR="00366D2E" w:rsidRPr="00F74C7F">
        <w:rPr>
          <w:rFonts w:cs="Arial"/>
          <w:szCs w:val="24"/>
        </w:rPr>
        <w:t>organización, desarrollo y vigilancia d</w:t>
      </w:r>
      <w:r w:rsidR="00836C0F" w:rsidRPr="00F74C7F">
        <w:rPr>
          <w:rFonts w:cs="Arial"/>
          <w:szCs w:val="24"/>
        </w:rPr>
        <w:t>el</w:t>
      </w:r>
      <w:r w:rsidR="00366D2E" w:rsidRPr="00F74C7F">
        <w:rPr>
          <w:rFonts w:cs="Arial"/>
          <w:szCs w:val="24"/>
        </w:rPr>
        <w:t xml:space="preserve"> proceso de </w:t>
      </w:r>
      <w:r w:rsidR="008A12CF">
        <w:rPr>
          <w:rFonts w:cs="Arial"/>
          <w:szCs w:val="24"/>
        </w:rPr>
        <w:t>R</w:t>
      </w:r>
      <w:r w:rsidR="00366D2E" w:rsidRPr="00F74C7F">
        <w:rPr>
          <w:rFonts w:cs="Arial"/>
          <w:szCs w:val="24"/>
        </w:rPr>
        <w:t xml:space="preserve">evocación de </w:t>
      </w:r>
      <w:r w:rsidR="008A12CF">
        <w:rPr>
          <w:rFonts w:cs="Arial"/>
          <w:szCs w:val="24"/>
        </w:rPr>
        <w:t>M</w:t>
      </w:r>
      <w:r w:rsidR="00366D2E" w:rsidRPr="00F74C7F">
        <w:rPr>
          <w:rFonts w:cs="Arial"/>
          <w:szCs w:val="24"/>
        </w:rPr>
        <w:t xml:space="preserve">andato de la persona titular de la gubernatura del estado de Oaxaca, para el periodo constitucional 2022-2028.  </w:t>
      </w:r>
    </w:p>
    <w:p w14:paraId="3C091542" w14:textId="77777777" w:rsidR="00777D57" w:rsidRPr="00F74C7F" w:rsidRDefault="00777D57" w:rsidP="00F74C7F">
      <w:pPr>
        <w:pStyle w:val="Prrafodelista"/>
        <w:spacing w:after="0" w:line="276" w:lineRule="auto"/>
        <w:rPr>
          <w:rFonts w:cs="Arial"/>
          <w:b/>
          <w:bCs/>
          <w:szCs w:val="24"/>
        </w:rPr>
      </w:pPr>
    </w:p>
    <w:p w14:paraId="55BE599B" w14:textId="54294980" w:rsidR="00F6006A" w:rsidRPr="0056740A" w:rsidRDefault="003F56D3" w:rsidP="00F74C7F">
      <w:pPr>
        <w:pStyle w:val="Prrafodelista"/>
        <w:numPr>
          <w:ilvl w:val="0"/>
          <w:numId w:val="1"/>
        </w:numPr>
        <w:spacing w:after="0" w:line="276" w:lineRule="auto"/>
        <w:rPr>
          <w:rFonts w:cs="Arial"/>
          <w:b/>
          <w:bCs/>
          <w:szCs w:val="24"/>
        </w:rPr>
      </w:pPr>
      <w:r>
        <w:rPr>
          <w:rFonts w:cs="Arial"/>
          <w:szCs w:val="24"/>
        </w:rPr>
        <w:t>En la misma fecha</w:t>
      </w:r>
      <w:r w:rsidR="001E5A4F" w:rsidRPr="00F74C7F">
        <w:rPr>
          <w:rFonts w:cs="Arial"/>
          <w:szCs w:val="24"/>
        </w:rPr>
        <w:t>, el Secretario Ejecutivo del IEEPCO emit</w:t>
      </w:r>
      <w:r w:rsidR="00A42825">
        <w:rPr>
          <w:rFonts w:cs="Arial"/>
          <w:szCs w:val="24"/>
        </w:rPr>
        <w:t>ió</w:t>
      </w:r>
      <w:r w:rsidR="001E5A4F" w:rsidRPr="00F74C7F">
        <w:rPr>
          <w:rFonts w:cs="Arial"/>
          <w:szCs w:val="24"/>
        </w:rPr>
        <w:t xml:space="preserve"> el informe sobre las solicitudes presentadas para promover </w:t>
      </w:r>
      <w:r w:rsidR="009761B0" w:rsidRPr="00F74C7F">
        <w:rPr>
          <w:rFonts w:cs="Arial"/>
          <w:szCs w:val="24"/>
        </w:rPr>
        <w:t xml:space="preserve">la </w:t>
      </w:r>
      <w:r w:rsidR="008A12CF">
        <w:rPr>
          <w:rFonts w:cs="Arial"/>
          <w:szCs w:val="24"/>
        </w:rPr>
        <w:t>R</w:t>
      </w:r>
      <w:r w:rsidR="009761B0" w:rsidRPr="00F74C7F">
        <w:rPr>
          <w:rFonts w:cs="Arial"/>
          <w:szCs w:val="24"/>
        </w:rPr>
        <w:t xml:space="preserve">evocación de </w:t>
      </w:r>
      <w:r w:rsidR="008A12CF">
        <w:rPr>
          <w:rFonts w:cs="Arial"/>
          <w:szCs w:val="24"/>
        </w:rPr>
        <w:t>M</w:t>
      </w:r>
      <w:r w:rsidR="009761B0" w:rsidRPr="00F74C7F">
        <w:rPr>
          <w:rFonts w:cs="Arial"/>
          <w:szCs w:val="24"/>
        </w:rPr>
        <w:t xml:space="preserve">andato, en términos del artículo 12 de los </w:t>
      </w:r>
      <w:r w:rsidR="00FE0370">
        <w:rPr>
          <w:rFonts w:cs="Arial"/>
          <w:szCs w:val="24"/>
        </w:rPr>
        <w:t>L</w:t>
      </w:r>
      <w:r w:rsidR="009761B0" w:rsidRPr="00F74C7F">
        <w:rPr>
          <w:rFonts w:cs="Arial"/>
          <w:szCs w:val="24"/>
        </w:rPr>
        <w:t xml:space="preserve">ineamientos para el proceso de solicitud de </w:t>
      </w:r>
      <w:r w:rsidR="00336BCF">
        <w:rPr>
          <w:rFonts w:cs="Arial"/>
          <w:szCs w:val="24"/>
        </w:rPr>
        <w:t>R</w:t>
      </w:r>
      <w:r w:rsidR="009761B0" w:rsidRPr="00F74C7F">
        <w:rPr>
          <w:rFonts w:cs="Arial"/>
          <w:szCs w:val="24"/>
        </w:rPr>
        <w:t xml:space="preserve">evocación de </w:t>
      </w:r>
      <w:r w:rsidR="00336BCF">
        <w:rPr>
          <w:rFonts w:cs="Arial"/>
          <w:szCs w:val="24"/>
        </w:rPr>
        <w:t>M</w:t>
      </w:r>
      <w:r w:rsidR="009761B0" w:rsidRPr="00F74C7F">
        <w:rPr>
          <w:rFonts w:cs="Arial"/>
          <w:szCs w:val="24"/>
        </w:rPr>
        <w:t xml:space="preserve">andato de la persona titular de la </w:t>
      </w:r>
      <w:r w:rsidR="00336BCF">
        <w:rPr>
          <w:rFonts w:cs="Arial"/>
          <w:szCs w:val="24"/>
        </w:rPr>
        <w:t>G</w:t>
      </w:r>
      <w:r w:rsidR="009761B0" w:rsidRPr="00F74C7F">
        <w:rPr>
          <w:rFonts w:cs="Arial"/>
          <w:szCs w:val="24"/>
        </w:rPr>
        <w:t xml:space="preserve">ubernatura del </w:t>
      </w:r>
      <w:r w:rsidR="00336BCF">
        <w:rPr>
          <w:rFonts w:cs="Arial"/>
          <w:szCs w:val="24"/>
        </w:rPr>
        <w:t>E</w:t>
      </w:r>
      <w:r w:rsidR="009761B0" w:rsidRPr="00F74C7F">
        <w:rPr>
          <w:rFonts w:cs="Arial"/>
          <w:szCs w:val="24"/>
        </w:rPr>
        <w:t xml:space="preserve">stado de Oaxaca, para el periodo constitucional 2022-2028.  </w:t>
      </w:r>
    </w:p>
    <w:p w14:paraId="3596A49F" w14:textId="77777777" w:rsidR="0056740A" w:rsidRPr="0056740A" w:rsidRDefault="0056740A" w:rsidP="0056740A">
      <w:pPr>
        <w:pStyle w:val="Prrafodelista"/>
        <w:spacing w:after="0" w:line="276" w:lineRule="auto"/>
        <w:rPr>
          <w:rFonts w:cs="Arial"/>
          <w:b/>
          <w:bCs/>
          <w:szCs w:val="24"/>
        </w:rPr>
      </w:pPr>
    </w:p>
    <w:p w14:paraId="3B319871" w14:textId="77777777" w:rsidR="00336B67" w:rsidRPr="00336B67" w:rsidRDefault="00A64EB2" w:rsidP="00336B67">
      <w:pPr>
        <w:pStyle w:val="Prrafodelista"/>
        <w:numPr>
          <w:ilvl w:val="0"/>
          <w:numId w:val="1"/>
        </w:numPr>
        <w:spacing w:after="0" w:line="276" w:lineRule="auto"/>
        <w:rPr>
          <w:rFonts w:cs="Arial"/>
          <w:b/>
          <w:bCs/>
          <w:szCs w:val="24"/>
        </w:rPr>
      </w:pPr>
      <w:r w:rsidRPr="00336B67">
        <w:rPr>
          <w:rFonts w:cs="Arial"/>
          <w:szCs w:val="24"/>
        </w:rPr>
        <w:t>El 21 de noviembre de 2025</w:t>
      </w:r>
      <w:r w:rsidR="007C0FE7" w:rsidRPr="00336B67">
        <w:rPr>
          <w:rFonts w:cs="Arial"/>
          <w:szCs w:val="24"/>
        </w:rPr>
        <w:t xml:space="preserve">, </w:t>
      </w:r>
      <w:r w:rsidR="00736A14" w:rsidRPr="00336B67">
        <w:rPr>
          <w:rFonts w:cs="Arial"/>
          <w:szCs w:val="24"/>
        </w:rPr>
        <w:t xml:space="preserve">este Instituto y </w:t>
      </w:r>
      <w:r w:rsidR="007C0FE7" w:rsidRPr="00336B67">
        <w:rPr>
          <w:rFonts w:cs="Arial"/>
          <w:szCs w:val="24"/>
        </w:rPr>
        <w:t xml:space="preserve">el INE </w:t>
      </w:r>
      <w:r w:rsidR="00D031D0" w:rsidRPr="00336B67">
        <w:rPr>
          <w:rFonts w:cs="Arial"/>
          <w:szCs w:val="24"/>
        </w:rPr>
        <w:t>firmaron un</w:t>
      </w:r>
      <w:r w:rsidR="00D97B51" w:rsidRPr="00336B67">
        <w:rPr>
          <w:rFonts w:cs="Arial"/>
          <w:szCs w:val="24"/>
        </w:rPr>
        <w:t xml:space="preserve"> </w:t>
      </w:r>
      <w:r w:rsidR="00FE0370" w:rsidRPr="00336B67">
        <w:rPr>
          <w:rFonts w:cs="Arial"/>
          <w:szCs w:val="24"/>
        </w:rPr>
        <w:t>C</w:t>
      </w:r>
      <w:r w:rsidR="00D97B51" w:rsidRPr="00336B67">
        <w:rPr>
          <w:rFonts w:cs="Arial"/>
          <w:szCs w:val="24"/>
        </w:rPr>
        <w:t>onvenio de coordinación y colaboración para garantizar la organización del Proceso de Revocación de Mandato de la persona titular del Poder Ejecutivo del estado de Oaxaca (PRMO) 2026.</w:t>
      </w:r>
      <w:r w:rsidR="00E43A93" w:rsidRPr="00336B67">
        <w:rPr>
          <w:rFonts w:cs="Arial"/>
          <w:szCs w:val="24"/>
        </w:rPr>
        <w:t xml:space="preserve"> </w:t>
      </w:r>
    </w:p>
    <w:p w14:paraId="5FC7BD46" w14:textId="77777777" w:rsidR="00336B67" w:rsidRPr="00336B67" w:rsidRDefault="00336B67" w:rsidP="00336B67">
      <w:pPr>
        <w:pStyle w:val="Prrafodelista"/>
        <w:spacing w:after="0" w:line="276" w:lineRule="auto"/>
        <w:rPr>
          <w:rFonts w:cs="Arial"/>
          <w:b/>
          <w:bCs/>
          <w:szCs w:val="24"/>
        </w:rPr>
      </w:pPr>
    </w:p>
    <w:p w14:paraId="24D9A848" w14:textId="5074E56D" w:rsidR="00027935" w:rsidRPr="00336B67" w:rsidRDefault="00027935" w:rsidP="00336B67">
      <w:pPr>
        <w:pStyle w:val="Prrafodelista"/>
        <w:numPr>
          <w:ilvl w:val="0"/>
          <w:numId w:val="1"/>
        </w:numPr>
        <w:spacing w:after="0" w:line="276" w:lineRule="auto"/>
        <w:rPr>
          <w:rFonts w:cs="Arial"/>
          <w:b/>
          <w:bCs/>
          <w:szCs w:val="24"/>
        </w:rPr>
      </w:pPr>
      <w:r w:rsidRPr="00336B67">
        <w:rPr>
          <w:rFonts w:cs="Arial"/>
        </w:rPr>
        <w:t>El</w:t>
      </w:r>
      <w:r w:rsidR="002256D6" w:rsidRPr="00336B67">
        <w:rPr>
          <w:rFonts w:cs="Arial"/>
        </w:rPr>
        <w:t xml:space="preserve"> 13 de diciembre</w:t>
      </w:r>
      <w:r w:rsidR="004746D3" w:rsidRPr="00336B67">
        <w:rPr>
          <w:rFonts w:cs="Arial"/>
        </w:rPr>
        <w:t xml:space="preserve"> de 2025</w:t>
      </w:r>
      <w:r w:rsidR="008A12CF">
        <w:rPr>
          <w:rFonts w:cs="Arial"/>
        </w:rPr>
        <w:t xml:space="preserve"> </w:t>
      </w:r>
      <w:r w:rsidRPr="00336B67">
        <w:rPr>
          <w:rFonts w:cs="Arial"/>
        </w:rPr>
        <w:t>el Consejo General del IEEPCO, mediante Acuerdo</w:t>
      </w:r>
      <w:r w:rsidR="000200EE">
        <w:rPr>
          <w:rFonts w:cs="Arial"/>
        </w:rPr>
        <w:t xml:space="preserve"> </w:t>
      </w:r>
      <w:r w:rsidR="004746D3" w:rsidRPr="00336B67">
        <w:rPr>
          <w:rFonts w:cs="Arial"/>
        </w:rPr>
        <w:t xml:space="preserve">IEEPCO-CG-33/2025 </w:t>
      </w:r>
      <w:r w:rsidRPr="00336B67">
        <w:rPr>
          <w:rFonts w:cs="Arial"/>
        </w:rPr>
        <w:t>aprobó</w:t>
      </w:r>
      <w:r w:rsidR="004746D3" w:rsidRPr="00336B67">
        <w:rPr>
          <w:rFonts w:cs="Arial"/>
        </w:rPr>
        <w:t xml:space="preserve"> la Estrategia de Integración, Asistencia y Capacitación de Mesas Directivas de Casilla para la Revocación de Mandato en Oaxaca y sus anexos, para la organización, desarrollo y vigilancia de los actos previos y el proceso de Revocación de Mandato de la persona titular de la gubernatura del estado de Oaxaca, para el periodo constitucional 2022-2028. </w:t>
      </w:r>
    </w:p>
    <w:p w14:paraId="5CAD7DDE" w14:textId="77777777" w:rsidR="00027935" w:rsidRPr="00D208F7" w:rsidRDefault="00027935" w:rsidP="00027935">
      <w:pPr>
        <w:pStyle w:val="Prrafodelista"/>
        <w:spacing w:after="0" w:line="276" w:lineRule="auto"/>
        <w:rPr>
          <w:rFonts w:cs="Arial"/>
        </w:rPr>
      </w:pPr>
    </w:p>
    <w:p w14:paraId="174325A1" w14:textId="1586970E" w:rsidR="008E3073" w:rsidRPr="008E3073" w:rsidRDefault="00143C50" w:rsidP="008E3073">
      <w:pPr>
        <w:pStyle w:val="Prrafodelista"/>
        <w:numPr>
          <w:ilvl w:val="0"/>
          <w:numId w:val="1"/>
        </w:numPr>
        <w:spacing w:after="0" w:line="276" w:lineRule="auto"/>
        <w:rPr>
          <w:rFonts w:cs="Arial"/>
          <w:szCs w:val="24"/>
        </w:rPr>
      </w:pPr>
      <w:r w:rsidRPr="008A12CF">
        <w:rPr>
          <w:rFonts w:cs="Arial"/>
          <w:szCs w:val="24"/>
        </w:rPr>
        <w:t>El</w:t>
      </w:r>
      <w:r w:rsidR="008A12CF">
        <w:rPr>
          <w:rFonts w:cs="Arial"/>
          <w:szCs w:val="24"/>
        </w:rPr>
        <w:t xml:space="preserve"> 19 </w:t>
      </w:r>
      <w:r w:rsidRPr="00336B67">
        <w:rPr>
          <w:rFonts w:cs="Arial"/>
          <w:szCs w:val="24"/>
        </w:rPr>
        <w:t xml:space="preserve">de diciembre de 2025, </w:t>
      </w:r>
      <w:r w:rsidR="003132AF" w:rsidRPr="00336B67">
        <w:rPr>
          <w:rFonts w:cs="Arial"/>
          <w:szCs w:val="24"/>
        </w:rPr>
        <w:t xml:space="preserve">la Secretaría Ejecutiva presentó el informe sobre </w:t>
      </w:r>
      <w:r w:rsidR="002068C0" w:rsidRPr="00336B67">
        <w:rPr>
          <w:rFonts w:cs="Arial"/>
          <w:szCs w:val="24"/>
        </w:rPr>
        <w:t>la verificación de los requisitos</w:t>
      </w:r>
      <w:r w:rsidR="002068C0" w:rsidRPr="008E3073">
        <w:rPr>
          <w:rFonts w:cs="Arial"/>
          <w:szCs w:val="24"/>
        </w:rPr>
        <w:t xml:space="preserve"> de la solicitud de Revocación de Mandato</w:t>
      </w:r>
      <w:r w:rsidR="007814C5" w:rsidRPr="008E3073">
        <w:rPr>
          <w:rFonts w:cs="Arial"/>
          <w:szCs w:val="24"/>
        </w:rPr>
        <w:t xml:space="preserve"> al Consejo General</w:t>
      </w:r>
      <w:r w:rsidR="002068C0" w:rsidRPr="008E3073">
        <w:rPr>
          <w:rFonts w:cs="Arial"/>
          <w:szCs w:val="24"/>
        </w:rPr>
        <w:t>, determinando</w:t>
      </w:r>
      <w:r w:rsidR="007814C5" w:rsidRPr="008E3073">
        <w:rPr>
          <w:rFonts w:cs="Arial"/>
          <w:szCs w:val="24"/>
        </w:rPr>
        <w:t xml:space="preserve"> éste</w:t>
      </w:r>
      <w:r w:rsidR="002068C0" w:rsidRPr="008E3073">
        <w:rPr>
          <w:rFonts w:cs="Arial"/>
          <w:szCs w:val="24"/>
        </w:rPr>
        <w:t xml:space="preserve"> su procedencia</w:t>
      </w:r>
      <w:r w:rsidR="00A72BD6" w:rsidRPr="008E3073">
        <w:rPr>
          <w:rFonts w:cs="Arial"/>
          <w:szCs w:val="24"/>
        </w:rPr>
        <w:t>.</w:t>
      </w:r>
    </w:p>
    <w:p w14:paraId="61633897" w14:textId="77777777" w:rsidR="008E3073" w:rsidRPr="008E3073" w:rsidRDefault="008E3073" w:rsidP="008E3073">
      <w:pPr>
        <w:pStyle w:val="Prrafodelista"/>
        <w:spacing w:after="0" w:line="276" w:lineRule="auto"/>
        <w:rPr>
          <w:rFonts w:cs="Arial"/>
          <w:szCs w:val="24"/>
        </w:rPr>
      </w:pPr>
    </w:p>
    <w:p w14:paraId="5CF8D316" w14:textId="1AC45984" w:rsidR="003723F6" w:rsidRPr="005D6D31" w:rsidRDefault="00276860" w:rsidP="00F74C7F">
      <w:pPr>
        <w:pStyle w:val="Prrafodelista"/>
        <w:numPr>
          <w:ilvl w:val="0"/>
          <w:numId w:val="1"/>
        </w:numPr>
        <w:spacing w:after="0" w:line="276" w:lineRule="auto"/>
        <w:rPr>
          <w:rFonts w:cs="Arial"/>
          <w:szCs w:val="24"/>
        </w:rPr>
      </w:pPr>
      <w:r w:rsidRPr="005D6D31">
        <w:rPr>
          <w:rFonts w:cs="Arial"/>
          <w:szCs w:val="24"/>
        </w:rPr>
        <w:t>El</w:t>
      </w:r>
      <w:r w:rsidR="005D6D31">
        <w:rPr>
          <w:rFonts w:cs="Arial"/>
          <w:szCs w:val="24"/>
        </w:rPr>
        <w:t xml:space="preserve"> 22 </w:t>
      </w:r>
      <w:r w:rsidRPr="005D6D31">
        <w:rPr>
          <w:rFonts w:cs="Arial"/>
          <w:szCs w:val="24"/>
        </w:rPr>
        <w:t>de diciembre de 2025, mediante Acuerdo</w:t>
      </w:r>
      <w:r w:rsidR="000200EE">
        <w:rPr>
          <w:rFonts w:cs="Arial"/>
          <w:szCs w:val="24"/>
        </w:rPr>
        <w:t xml:space="preserve"> IEEPCO-CG-39/2025 </w:t>
      </w:r>
      <w:r w:rsidRPr="005D6D31">
        <w:rPr>
          <w:rFonts w:cs="Arial"/>
          <w:szCs w:val="24"/>
        </w:rPr>
        <w:t>el Consejo General del IEEPCO aprobó la convocatoria dirigida a la ciudadanía para participar en la</w:t>
      </w:r>
      <w:r w:rsidR="003132AF" w:rsidRPr="005D6D31">
        <w:rPr>
          <w:rFonts w:cs="Arial"/>
          <w:szCs w:val="24"/>
        </w:rPr>
        <w:t xml:space="preserve"> Jornad</w:t>
      </w:r>
      <w:r w:rsidR="002E03B0" w:rsidRPr="005D6D31">
        <w:rPr>
          <w:rFonts w:cs="Arial"/>
          <w:szCs w:val="24"/>
        </w:rPr>
        <w:t xml:space="preserve">a de </w:t>
      </w:r>
      <w:r w:rsidR="00B72D7E" w:rsidRPr="005D6D31">
        <w:rPr>
          <w:rFonts w:cs="Arial"/>
          <w:szCs w:val="24"/>
        </w:rPr>
        <w:t>Revocación de</w:t>
      </w:r>
      <w:r w:rsidR="002E03B0" w:rsidRPr="005D6D31">
        <w:rPr>
          <w:rFonts w:cs="Arial"/>
          <w:szCs w:val="24"/>
        </w:rPr>
        <w:t xml:space="preserve"> Mandato</w:t>
      </w:r>
      <w:r w:rsidR="009537B5" w:rsidRPr="005D6D31">
        <w:rPr>
          <w:rFonts w:cs="Arial"/>
          <w:szCs w:val="24"/>
        </w:rPr>
        <w:t xml:space="preserve"> de fecha </w:t>
      </w:r>
      <w:r w:rsidR="00F47222">
        <w:rPr>
          <w:rFonts w:cs="Arial"/>
          <w:szCs w:val="24"/>
        </w:rPr>
        <w:t>22 de diciembre de</w:t>
      </w:r>
      <w:r w:rsidR="009537B5" w:rsidRPr="005D6D31">
        <w:rPr>
          <w:rFonts w:cs="Arial"/>
          <w:szCs w:val="24"/>
        </w:rPr>
        <w:t xml:space="preserve"> 2026.</w:t>
      </w:r>
    </w:p>
    <w:p w14:paraId="66EE4B78" w14:textId="77777777" w:rsidR="00700D8D" w:rsidRDefault="00700D8D" w:rsidP="00700D8D">
      <w:pPr>
        <w:pStyle w:val="Prrafodelista"/>
        <w:spacing w:after="0" w:line="276" w:lineRule="auto"/>
        <w:rPr>
          <w:rFonts w:cs="Arial"/>
          <w:szCs w:val="24"/>
        </w:rPr>
      </w:pPr>
    </w:p>
    <w:p w14:paraId="35A562DF" w14:textId="77777777" w:rsidR="00A719FE" w:rsidRDefault="00A719FE" w:rsidP="00700D8D">
      <w:pPr>
        <w:pStyle w:val="Prrafodelista"/>
        <w:spacing w:after="0" w:line="276" w:lineRule="auto"/>
        <w:rPr>
          <w:rFonts w:cs="Arial"/>
          <w:szCs w:val="24"/>
        </w:rPr>
      </w:pPr>
    </w:p>
    <w:p w14:paraId="2EA44A3D" w14:textId="77777777" w:rsidR="00A719FE" w:rsidRDefault="00A719FE" w:rsidP="00700D8D">
      <w:pPr>
        <w:pStyle w:val="Prrafodelista"/>
        <w:spacing w:after="0" w:line="276" w:lineRule="auto"/>
        <w:rPr>
          <w:rFonts w:cs="Arial"/>
          <w:szCs w:val="24"/>
        </w:rPr>
      </w:pPr>
    </w:p>
    <w:p w14:paraId="56020A4D" w14:textId="77777777" w:rsidR="00A719FE" w:rsidRPr="00700D8D" w:rsidRDefault="00A719FE" w:rsidP="00700D8D">
      <w:pPr>
        <w:pStyle w:val="Prrafodelista"/>
        <w:spacing w:after="0" w:line="276" w:lineRule="auto"/>
        <w:rPr>
          <w:rFonts w:cs="Arial"/>
          <w:szCs w:val="24"/>
        </w:rPr>
      </w:pPr>
    </w:p>
    <w:p w14:paraId="41BDD131" w14:textId="77777777" w:rsidR="00883631" w:rsidRPr="00F74C7F" w:rsidRDefault="00883631" w:rsidP="00F74C7F">
      <w:pPr>
        <w:spacing w:after="0" w:line="276" w:lineRule="auto"/>
        <w:ind w:left="708"/>
        <w:jc w:val="center"/>
        <w:rPr>
          <w:rFonts w:eastAsia="Arial" w:cs="Arial"/>
          <w:szCs w:val="24"/>
        </w:rPr>
      </w:pPr>
      <w:r w:rsidRPr="00F74C7F">
        <w:rPr>
          <w:rFonts w:eastAsia="Arial" w:cs="Arial"/>
          <w:b/>
          <w:szCs w:val="24"/>
        </w:rPr>
        <w:lastRenderedPageBreak/>
        <w:t>C O N S I D E R A N D O S</w:t>
      </w:r>
    </w:p>
    <w:p w14:paraId="3D1F52E7" w14:textId="77777777" w:rsidR="003220EB" w:rsidRPr="00F74C7F" w:rsidRDefault="003220EB" w:rsidP="00F74C7F">
      <w:pPr>
        <w:spacing w:after="0" w:line="276" w:lineRule="auto"/>
        <w:rPr>
          <w:rFonts w:cs="Arial"/>
          <w:b/>
          <w:bCs/>
          <w:szCs w:val="24"/>
        </w:rPr>
      </w:pPr>
    </w:p>
    <w:p w14:paraId="74C2427D" w14:textId="769B4126" w:rsidR="005E5C75" w:rsidRPr="00F74C7F" w:rsidRDefault="00883631" w:rsidP="00F74C7F">
      <w:pPr>
        <w:spacing w:after="0" w:line="276" w:lineRule="auto"/>
        <w:rPr>
          <w:rFonts w:cs="Arial"/>
          <w:b/>
          <w:bCs/>
          <w:szCs w:val="24"/>
        </w:rPr>
      </w:pPr>
      <w:r w:rsidRPr="00F74C7F">
        <w:rPr>
          <w:rFonts w:cs="Arial"/>
          <w:b/>
          <w:bCs/>
          <w:szCs w:val="24"/>
        </w:rPr>
        <w:t>Primero. De la competencia del Consejo General.</w:t>
      </w:r>
    </w:p>
    <w:p w14:paraId="76615685" w14:textId="77777777" w:rsidR="00D53FE3" w:rsidRPr="00F74C7F" w:rsidRDefault="00D53FE3" w:rsidP="00F74C7F">
      <w:pPr>
        <w:spacing w:after="0" w:line="276" w:lineRule="auto"/>
        <w:rPr>
          <w:rFonts w:cs="Arial"/>
          <w:b/>
          <w:bCs/>
          <w:szCs w:val="24"/>
        </w:rPr>
      </w:pPr>
    </w:p>
    <w:p w14:paraId="14286BAF" w14:textId="3B2D03B3" w:rsidR="00D53FE3" w:rsidRPr="00DB5713" w:rsidRDefault="00D53FE3" w:rsidP="00DB5713">
      <w:pPr>
        <w:pStyle w:val="Prrafodelista"/>
        <w:numPr>
          <w:ilvl w:val="0"/>
          <w:numId w:val="2"/>
        </w:numPr>
        <w:spacing w:line="276" w:lineRule="auto"/>
        <w:rPr>
          <w:rFonts w:cs="Arial"/>
          <w:szCs w:val="24"/>
        </w:rPr>
      </w:pPr>
      <w:r w:rsidRPr="00F74C7F">
        <w:rPr>
          <w:rFonts w:cs="Arial"/>
          <w:szCs w:val="24"/>
        </w:rPr>
        <w:t xml:space="preserve">El párrafo tercero del artículo 1º de la Constitución Federal, establece que todas las autoridades, en el ámbito de sus competencias, tienen la obligación de promover, respetar, proteger y garantizar los derechos humanos de conformidad con los principios de universalidad, interdependencia, indivisibilidad y progresividad. </w:t>
      </w:r>
    </w:p>
    <w:p w14:paraId="0C601D8C" w14:textId="18E8B2AB" w:rsidR="00BB3CC3" w:rsidRDefault="00DB5713" w:rsidP="00DB5713">
      <w:pPr>
        <w:numPr>
          <w:ilvl w:val="0"/>
          <w:numId w:val="2"/>
        </w:numPr>
        <w:spacing w:after="0" w:line="276" w:lineRule="auto"/>
        <w:rPr>
          <w:rFonts w:eastAsia="Arial" w:cs="Arial"/>
          <w:color w:val="000000"/>
          <w:szCs w:val="24"/>
        </w:rPr>
      </w:pPr>
      <w:r>
        <w:rPr>
          <w:rFonts w:eastAsia="Arial" w:cs="Arial"/>
          <w:color w:val="000000"/>
          <w:szCs w:val="24"/>
        </w:rPr>
        <w:t xml:space="preserve">El artículo 41, fracción V, apartado C, numeral 8 de la Constitución Federal establece que, en el caso de procesos de </w:t>
      </w:r>
      <w:r w:rsidR="00027F71">
        <w:rPr>
          <w:rFonts w:eastAsia="Arial" w:cs="Arial"/>
          <w:color w:val="000000"/>
          <w:szCs w:val="24"/>
        </w:rPr>
        <w:t>R</w:t>
      </w:r>
      <w:r>
        <w:rPr>
          <w:rFonts w:eastAsia="Arial" w:cs="Arial"/>
          <w:color w:val="000000"/>
          <w:szCs w:val="24"/>
        </w:rPr>
        <w:t xml:space="preserve">evocación de </w:t>
      </w:r>
      <w:r w:rsidR="00027F71">
        <w:rPr>
          <w:rFonts w:eastAsia="Arial" w:cs="Arial"/>
          <w:color w:val="000000"/>
          <w:szCs w:val="24"/>
        </w:rPr>
        <w:t>M</w:t>
      </w:r>
      <w:r>
        <w:rPr>
          <w:rFonts w:eastAsia="Arial" w:cs="Arial"/>
          <w:color w:val="000000"/>
          <w:szCs w:val="24"/>
        </w:rPr>
        <w:t xml:space="preserve">andato en las entidades federativas, les corresponderá a los </w:t>
      </w:r>
      <w:r w:rsidR="007B23E1">
        <w:rPr>
          <w:rFonts w:eastAsia="Arial" w:cs="Arial"/>
          <w:color w:val="000000"/>
          <w:szCs w:val="24"/>
        </w:rPr>
        <w:t>O</w:t>
      </w:r>
      <w:r>
        <w:rPr>
          <w:rFonts w:eastAsia="Arial" w:cs="Arial"/>
          <w:color w:val="000000"/>
          <w:szCs w:val="24"/>
        </w:rPr>
        <w:t xml:space="preserve">rganismos </w:t>
      </w:r>
      <w:r w:rsidR="007B23E1">
        <w:rPr>
          <w:rFonts w:eastAsia="Arial" w:cs="Arial"/>
          <w:color w:val="000000"/>
          <w:szCs w:val="24"/>
        </w:rPr>
        <w:t>P</w:t>
      </w:r>
      <w:r>
        <w:rPr>
          <w:rFonts w:eastAsia="Arial" w:cs="Arial"/>
          <w:color w:val="000000"/>
          <w:szCs w:val="24"/>
        </w:rPr>
        <w:t xml:space="preserve">úblicos </w:t>
      </w:r>
      <w:r w:rsidR="007B23E1">
        <w:rPr>
          <w:rFonts w:eastAsia="Arial" w:cs="Arial"/>
          <w:color w:val="000000"/>
          <w:szCs w:val="24"/>
        </w:rPr>
        <w:t>L</w:t>
      </w:r>
      <w:r>
        <w:rPr>
          <w:rFonts w:eastAsia="Arial" w:cs="Arial"/>
          <w:color w:val="000000"/>
          <w:szCs w:val="24"/>
        </w:rPr>
        <w:t xml:space="preserve">ocales garantizar la observación electoral. </w:t>
      </w:r>
    </w:p>
    <w:p w14:paraId="13AA1B85" w14:textId="77777777" w:rsidR="00DB5713" w:rsidRPr="00DB5713" w:rsidRDefault="00DB5713" w:rsidP="00DB5713">
      <w:pPr>
        <w:spacing w:after="0" w:line="276" w:lineRule="auto"/>
        <w:ind w:left="720"/>
        <w:rPr>
          <w:rFonts w:eastAsia="Arial" w:cs="Arial"/>
          <w:color w:val="000000"/>
          <w:szCs w:val="24"/>
        </w:rPr>
      </w:pPr>
    </w:p>
    <w:p w14:paraId="48FD6CBD" w14:textId="208EAA53" w:rsidR="00C15387" w:rsidRPr="00F74C7F" w:rsidRDefault="00C15387" w:rsidP="00F74C7F">
      <w:pPr>
        <w:numPr>
          <w:ilvl w:val="0"/>
          <w:numId w:val="2"/>
        </w:numPr>
        <w:spacing w:after="0" w:line="276" w:lineRule="auto"/>
        <w:rPr>
          <w:rFonts w:eastAsia="Arial" w:cs="Arial"/>
          <w:color w:val="000000"/>
          <w:szCs w:val="24"/>
        </w:rPr>
      </w:pPr>
      <w:r w:rsidRPr="00F74C7F">
        <w:rPr>
          <w:rFonts w:eastAsia="Arial" w:cs="Arial"/>
          <w:color w:val="000000"/>
          <w:szCs w:val="24"/>
        </w:rPr>
        <w:t>De conformidad con lo establecido por el artículo 116, fracción IV, inciso b</w:t>
      </w:r>
      <w:r w:rsidR="00A42825">
        <w:rPr>
          <w:rFonts w:eastAsia="Arial" w:cs="Arial"/>
          <w:color w:val="000000"/>
          <w:szCs w:val="24"/>
        </w:rPr>
        <w:t>)</w:t>
      </w:r>
      <w:r w:rsidRPr="00F74C7F">
        <w:rPr>
          <w:rFonts w:eastAsia="Arial" w:cs="Arial"/>
          <w:color w:val="000000"/>
          <w:szCs w:val="24"/>
        </w:rPr>
        <w:t xml:space="preserve"> de la Constitución Federal, en el ejercicio de la función electoral las autoridades electorales observarán los principios rectores de certeza, legalidad, independencia, imparcialidad, máxima publicidad y objetividad. </w:t>
      </w:r>
    </w:p>
    <w:p w14:paraId="75DFE900" w14:textId="77777777" w:rsidR="00705028" w:rsidRPr="00F74C7F" w:rsidRDefault="00705028" w:rsidP="00B72D7E">
      <w:pPr>
        <w:spacing w:after="0" w:line="276" w:lineRule="auto"/>
        <w:rPr>
          <w:rFonts w:eastAsia="Arial" w:cs="Arial"/>
          <w:color w:val="000000"/>
          <w:szCs w:val="24"/>
        </w:rPr>
      </w:pPr>
    </w:p>
    <w:p w14:paraId="6AB79E88" w14:textId="513F5567" w:rsidR="00705028" w:rsidRPr="00F74C7F" w:rsidRDefault="002D5BEA" w:rsidP="00F74C7F">
      <w:pPr>
        <w:numPr>
          <w:ilvl w:val="0"/>
          <w:numId w:val="2"/>
        </w:numPr>
        <w:spacing w:after="0" w:line="276" w:lineRule="auto"/>
        <w:rPr>
          <w:rFonts w:eastAsia="Arial" w:cs="Arial"/>
          <w:color w:val="000000"/>
          <w:szCs w:val="24"/>
        </w:rPr>
      </w:pPr>
      <w:r w:rsidRPr="00F74C7F">
        <w:rPr>
          <w:rFonts w:cs="Arial"/>
          <w:szCs w:val="24"/>
        </w:rPr>
        <w:t>E</w:t>
      </w:r>
      <w:r w:rsidR="00705028" w:rsidRPr="00F74C7F">
        <w:rPr>
          <w:rFonts w:cs="Arial"/>
          <w:szCs w:val="24"/>
        </w:rPr>
        <w:t xml:space="preserve">n términos de lo dispuesto por el artículo 98, párrafos 1 y 2, de la LGIPE; </w:t>
      </w:r>
      <w:r w:rsidR="00A42825">
        <w:rPr>
          <w:rFonts w:cs="Arial"/>
          <w:szCs w:val="24"/>
        </w:rPr>
        <w:t xml:space="preserve">y por el </w:t>
      </w:r>
      <w:r w:rsidR="00705028" w:rsidRPr="00F74C7F">
        <w:rPr>
          <w:rFonts w:cs="Arial"/>
          <w:szCs w:val="24"/>
        </w:rPr>
        <w:t xml:space="preserve">artículo 30, párrafos 1, 2, 3 y 5 de la LIPEEO, los </w:t>
      </w:r>
      <w:r w:rsidR="003C084C">
        <w:rPr>
          <w:rFonts w:cs="Arial"/>
          <w:szCs w:val="24"/>
        </w:rPr>
        <w:t>O</w:t>
      </w:r>
      <w:r w:rsidR="00705028" w:rsidRPr="00F74C7F">
        <w:rPr>
          <w:rFonts w:cs="Arial"/>
          <w:szCs w:val="24"/>
        </w:rPr>
        <w:t xml:space="preserve">rganismos </w:t>
      </w:r>
      <w:r w:rsidR="003C084C">
        <w:rPr>
          <w:rFonts w:cs="Arial"/>
          <w:szCs w:val="24"/>
        </w:rPr>
        <w:t>P</w:t>
      </w:r>
      <w:r w:rsidR="00705028" w:rsidRPr="00F74C7F">
        <w:rPr>
          <w:rFonts w:cs="Arial"/>
          <w:szCs w:val="24"/>
        </w:rPr>
        <w:t xml:space="preserve">úblicos </w:t>
      </w:r>
      <w:r w:rsidR="003C084C">
        <w:rPr>
          <w:rFonts w:cs="Arial"/>
          <w:szCs w:val="24"/>
        </w:rPr>
        <w:t>L</w:t>
      </w:r>
      <w:r w:rsidR="00705028" w:rsidRPr="00F74C7F">
        <w:rPr>
          <w:rFonts w:cs="Arial"/>
          <w:szCs w:val="24"/>
        </w:rPr>
        <w:t>ocales están dotados de personalidad jurídica y patrimonio propios, gozarán de autonomía en su funcionamiento e independencia en sus decisiones, en los términos previstos en la Constitución Federal, la L</w:t>
      </w:r>
      <w:r w:rsidR="0074085A">
        <w:rPr>
          <w:rFonts w:cs="Arial"/>
          <w:szCs w:val="24"/>
        </w:rPr>
        <w:t>GIPE</w:t>
      </w:r>
      <w:r w:rsidR="00705028" w:rsidRPr="00F74C7F">
        <w:rPr>
          <w:rFonts w:cs="Arial"/>
          <w:szCs w:val="24"/>
        </w:rPr>
        <w:t>, así como la Constitución</w:t>
      </w:r>
      <w:r w:rsidR="00F30EF1">
        <w:rPr>
          <w:rFonts w:cs="Arial"/>
          <w:szCs w:val="24"/>
        </w:rPr>
        <w:t xml:space="preserve"> </w:t>
      </w:r>
      <w:r w:rsidR="00F00F31">
        <w:rPr>
          <w:rFonts w:cs="Arial"/>
          <w:szCs w:val="24"/>
        </w:rPr>
        <w:t>Local</w:t>
      </w:r>
      <w:r w:rsidR="00705028" w:rsidRPr="00F74C7F">
        <w:rPr>
          <w:rFonts w:cs="Arial"/>
          <w:szCs w:val="24"/>
        </w:rPr>
        <w:t xml:space="preserve"> y leyes locales, serán profesionales en su desempeño y se regirán por los principios de certeza, imparcialidad, independencia, legalidad, interculturalidad, máxima publicidad, objetividad y paridad y se realizar</w:t>
      </w:r>
      <w:r w:rsidR="0086422C">
        <w:rPr>
          <w:rFonts w:cs="Arial"/>
          <w:szCs w:val="24"/>
        </w:rPr>
        <w:t>á</w:t>
      </w:r>
      <w:r w:rsidR="00705028" w:rsidRPr="00F74C7F">
        <w:rPr>
          <w:rFonts w:cs="Arial"/>
          <w:szCs w:val="24"/>
        </w:rPr>
        <w:t xml:space="preserve"> con perspectiva de género.</w:t>
      </w:r>
    </w:p>
    <w:p w14:paraId="3302671D" w14:textId="77777777" w:rsidR="00F74C7F" w:rsidRPr="00F74C7F" w:rsidRDefault="00F74C7F" w:rsidP="00F74C7F">
      <w:pPr>
        <w:spacing w:after="0" w:line="276" w:lineRule="auto"/>
        <w:ind w:left="720"/>
        <w:rPr>
          <w:rFonts w:eastAsia="Arial" w:cs="Arial"/>
          <w:color w:val="000000"/>
          <w:szCs w:val="24"/>
        </w:rPr>
      </w:pPr>
    </w:p>
    <w:p w14:paraId="676E57F8" w14:textId="1882669E" w:rsidR="000E085A" w:rsidRPr="00AB2A55" w:rsidRDefault="00D62698" w:rsidP="00D91279">
      <w:pPr>
        <w:numPr>
          <w:ilvl w:val="0"/>
          <w:numId w:val="2"/>
        </w:numPr>
        <w:spacing w:after="0" w:line="276" w:lineRule="auto"/>
        <w:rPr>
          <w:rFonts w:eastAsia="Arial" w:cs="Arial"/>
          <w:color w:val="000000"/>
          <w:szCs w:val="24"/>
        </w:rPr>
      </w:pPr>
      <w:r w:rsidRPr="00F74C7F">
        <w:rPr>
          <w:rFonts w:cs="Arial"/>
          <w:szCs w:val="24"/>
        </w:rPr>
        <w:t>Asimismo</w:t>
      </w:r>
      <w:r w:rsidR="00C81B45" w:rsidRPr="00F74C7F">
        <w:rPr>
          <w:rFonts w:cs="Arial"/>
          <w:szCs w:val="24"/>
        </w:rPr>
        <w:t xml:space="preserve">, el artículo 104, numeral 1, inciso </w:t>
      </w:r>
      <w:r w:rsidR="00474BBA">
        <w:rPr>
          <w:rFonts w:cs="Arial"/>
          <w:szCs w:val="24"/>
        </w:rPr>
        <w:t>m</w:t>
      </w:r>
      <w:r w:rsidR="00C81B45" w:rsidRPr="00F74C7F">
        <w:rPr>
          <w:rFonts w:cs="Arial"/>
          <w:szCs w:val="24"/>
        </w:rPr>
        <w:t xml:space="preserve">) de la LGIPE establece que corresponde a los </w:t>
      </w:r>
      <w:r w:rsidR="00502A21">
        <w:rPr>
          <w:rFonts w:cs="Arial"/>
          <w:szCs w:val="24"/>
        </w:rPr>
        <w:t>O</w:t>
      </w:r>
      <w:r w:rsidR="00C81B45" w:rsidRPr="00F74C7F">
        <w:rPr>
          <w:rFonts w:cs="Arial"/>
          <w:szCs w:val="24"/>
        </w:rPr>
        <w:t xml:space="preserve">rganismos </w:t>
      </w:r>
      <w:r w:rsidR="00502A21">
        <w:rPr>
          <w:rFonts w:cs="Arial"/>
          <w:szCs w:val="24"/>
        </w:rPr>
        <w:t>P</w:t>
      </w:r>
      <w:r w:rsidR="00C81B45" w:rsidRPr="00F74C7F">
        <w:rPr>
          <w:rFonts w:cs="Arial"/>
          <w:szCs w:val="24"/>
        </w:rPr>
        <w:t xml:space="preserve">úblicos </w:t>
      </w:r>
      <w:r w:rsidR="00502A21">
        <w:rPr>
          <w:rFonts w:cs="Arial"/>
          <w:szCs w:val="24"/>
        </w:rPr>
        <w:t>L</w:t>
      </w:r>
      <w:r w:rsidR="00C81B45" w:rsidRPr="00F74C7F">
        <w:rPr>
          <w:rFonts w:cs="Arial"/>
          <w:szCs w:val="24"/>
        </w:rPr>
        <w:t>ocales</w:t>
      </w:r>
      <w:r w:rsidR="00474BBA">
        <w:rPr>
          <w:rFonts w:cs="Arial"/>
          <w:szCs w:val="24"/>
        </w:rPr>
        <w:t xml:space="preserve">, desarrollar las actividades que se requieran para garantizar el derecho de la ciudadanía a realizar labores de observación electoral en la entidad de que se trate, de acuerdo con los lineamientos que emita el INE. </w:t>
      </w:r>
    </w:p>
    <w:p w14:paraId="5EC89F6E" w14:textId="77777777" w:rsidR="00AB2A55" w:rsidRPr="00AB2A55" w:rsidRDefault="00AB2A55" w:rsidP="00AB2A55">
      <w:pPr>
        <w:spacing w:after="0" w:line="276" w:lineRule="auto"/>
        <w:ind w:left="720"/>
        <w:rPr>
          <w:rFonts w:eastAsia="Arial" w:cs="Arial"/>
          <w:color w:val="000000"/>
          <w:szCs w:val="24"/>
        </w:rPr>
      </w:pPr>
    </w:p>
    <w:p w14:paraId="738D6976" w14:textId="77777777" w:rsidR="00AB2A55" w:rsidRPr="008313A0" w:rsidRDefault="00AB2A55" w:rsidP="00AB2A55">
      <w:pPr>
        <w:numPr>
          <w:ilvl w:val="0"/>
          <w:numId w:val="2"/>
        </w:numPr>
        <w:spacing w:after="0" w:line="276" w:lineRule="auto"/>
        <w:rPr>
          <w:rFonts w:eastAsia="Arial" w:cs="Arial"/>
          <w:szCs w:val="24"/>
        </w:rPr>
      </w:pPr>
      <w:r w:rsidRPr="008313A0">
        <w:rPr>
          <w:rFonts w:eastAsia="Arial" w:cs="Arial"/>
          <w:szCs w:val="24"/>
        </w:rPr>
        <w:t>Por su parte el artículo 25, base A, párrafo tercero de la Constitución Local dispone que en el ejercicio de la función electoral a cargo de las autoridades electorales serán principios rectores los de certeza, imparcialidad, independencia, legalidad, interculturalidad, máxima publicidad y objetividad.</w:t>
      </w:r>
    </w:p>
    <w:p w14:paraId="1313D5A5" w14:textId="77777777" w:rsidR="00AB2A55" w:rsidRPr="008313A0" w:rsidRDefault="00AB2A55" w:rsidP="00AB2A55">
      <w:pPr>
        <w:spacing w:after="0" w:line="276" w:lineRule="auto"/>
        <w:ind w:left="720"/>
        <w:rPr>
          <w:rFonts w:eastAsia="Arial" w:cs="Arial"/>
          <w:szCs w:val="24"/>
        </w:rPr>
      </w:pPr>
    </w:p>
    <w:p w14:paraId="25F2ED7C" w14:textId="0A709A7E" w:rsidR="00AB2A55" w:rsidRPr="008313A0" w:rsidRDefault="00AB2A55" w:rsidP="00AB2A55">
      <w:pPr>
        <w:numPr>
          <w:ilvl w:val="0"/>
          <w:numId w:val="2"/>
        </w:numPr>
        <w:spacing w:after="0" w:line="276" w:lineRule="auto"/>
        <w:rPr>
          <w:rFonts w:eastAsia="Arial" w:cs="Arial"/>
          <w:szCs w:val="24"/>
        </w:rPr>
      </w:pPr>
      <w:r w:rsidRPr="008313A0">
        <w:rPr>
          <w:rFonts w:eastAsia="Arial" w:cs="Arial"/>
          <w:szCs w:val="24"/>
        </w:rPr>
        <w:lastRenderedPageBreak/>
        <w:t xml:space="preserve">A nivel estatal, el artículo 114 TER, párrafo sexto, inciso h) de la Constitución Local establece que el IEEPCO ejercerá funciones en materia de observación electoral. A su vez, el párrafo séptimo, numeral II del mismo artículo estipula que contará con facultades para desempeñar actividades relativas a la observación electoral, de conformidad con los lineamientos establecidos por el Instituto Nacional Electoral. </w:t>
      </w:r>
    </w:p>
    <w:p w14:paraId="5AE23F9E" w14:textId="77777777" w:rsidR="00682614" w:rsidRPr="00682614" w:rsidRDefault="00682614" w:rsidP="00682614">
      <w:pPr>
        <w:spacing w:after="0" w:line="276" w:lineRule="auto"/>
        <w:ind w:left="720"/>
        <w:rPr>
          <w:rFonts w:eastAsia="Arial" w:cs="Arial"/>
          <w:color w:val="000000"/>
          <w:szCs w:val="24"/>
        </w:rPr>
      </w:pPr>
    </w:p>
    <w:p w14:paraId="589561C0" w14:textId="45D9BC99" w:rsidR="00682614" w:rsidRPr="00F74C7F" w:rsidRDefault="00B225DF" w:rsidP="00F74C7F">
      <w:pPr>
        <w:numPr>
          <w:ilvl w:val="0"/>
          <w:numId w:val="2"/>
        </w:numPr>
        <w:spacing w:after="0" w:line="276" w:lineRule="auto"/>
        <w:rPr>
          <w:rFonts w:eastAsia="Arial" w:cs="Arial"/>
          <w:color w:val="000000"/>
          <w:szCs w:val="24"/>
        </w:rPr>
      </w:pPr>
      <w:r>
        <w:rPr>
          <w:rFonts w:eastAsia="Arial" w:cs="Arial"/>
          <w:color w:val="000000"/>
          <w:szCs w:val="24"/>
        </w:rPr>
        <w:t xml:space="preserve">El </w:t>
      </w:r>
      <w:r w:rsidRPr="00102A2F">
        <w:rPr>
          <w:rFonts w:eastAsia="Arial" w:cs="Arial"/>
          <w:color w:val="000000"/>
          <w:szCs w:val="24"/>
        </w:rPr>
        <w:t>artículo 32</w:t>
      </w:r>
      <w:r w:rsidR="00737299" w:rsidRPr="00102A2F">
        <w:rPr>
          <w:rFonts w:eastAsia="Arial" w:cs="Arial"/>
          <w:color w:val="000000"/>
          <w:szCs w:val="24"/>
        </w:rPr>
        <w:t>, fracción XIV de</w:t>
      </w:r>
      <w:r w:rsidR="00737299">
        <w:rPr>
          <w:rFonts w:eastAsia="Arial" w:cs="Arial"/>
          <w:color w:val="000000"/>
          <w:szCs w:val="24"/>
        </w:rPr>
        <w:t xml:space="preserve"> la LIPEEO </w:t>
      </w:r>
      <w:r w:rsidR="003435DE">
        <w:rPr>
          <w:rFonts w:eastAsia="Arial" w:cs="Arial"/>
          <w:color w:val="000000"/>
          <w:szCs w:val="24"/>
        </w:rPr>
        <w:t xml:space="preserve">dota a este instituto </w:t>
      </w:r>
      <w:r w:rsidR="00D91279">
        <w:rPr>
          <w:rFonts w:eastAsia="Arial" w:cs="Arial"/>
          <w:color w:val="000000"/>
          <w:szCs w:val="24"/>
        </w:rPr>
        <w:t xml:space="preserve">de </w:t>
      </w:r>
      <w:r w:rsidR="003435DE">
        <w:rPr>
          <w:rFonts w:eastAsia="Arial" w:cs="Arial"/>
          <w:color w:val="000000"/>
          <w:szCs w:val="24"/>
        </w:rPr>
        <w:t xml:space="preserve">funciones para desarrollar las actividades que se requieran para garantizar el derecho de la ciudadanía </w:t>
      </w:r>
      <w:r w:rsidR="00505608">
        <w:rPr>
          <w:rFonts w:eastAsia="Arial" w:cs="Arial"/>
          <w:color w:val="000000"/>
          <w:szCs w:val="24"/>
        </w:rPr>
        <w:t xml:space="preserve">a realizar labores de observación electoral en el Estado de Oaxaca, de acuerdo con la reglamentación que emita el INE. </w:t>
      </w:r>
    </w:p>
    <w:p w14:paraId="511C1044" w14:textId="77777777" w:rsidR="00F17BB6" w:rsidRPr="00F74C7F" w:rsidRDefault="00F17BB6" w:rsidP="00F74C7F">
      <w:pPr>
        <w:spacing w:after="0" w:line="276" w:lineRule="auto"/>
        <w:ind w:left="720"/>
        <w:rPr>
          <w:rFonts w:eastAsia="Arial" w:cs="Arial"/>
          <w:color w:val="000000"/>
          <w:szCs w:val="24"/>
        </w:rPr>
      </w:pPr>
    </w:p>
    <w:p w14:paraId="1E5EF458" w14:textId="1A365B11" w:rsidR="00F17BB6" w:rsidRPr="00F74C7F" w:rsidRDefault="00F17BB6" w:rsidP="00F74C7F">
      <w:pPr>
        <w:numPr>
          <w:ilvl w:val="0"/>
          <w:numId w:val="2"/>
        </w:numPr>
        <w:spacing w:after="0" w:line="276" w:lineRule="auto"/>
        <w:rPr>
          <w:rFonts w:eastAsia="Arial" w:cs="Arial"/>
          <w:color w:val="000000"/>
          <w:szCs w:val="24"/>
        </w:rPr>
      </w:pPr>
      <w:r w:rsidRPr="00F74C7F">
        <w:rPr>
          <w:rFonts w:cs="Arial"/>
          <w:szCs w:val="24"/>
        </w:rPr>
        <w:t>El artículo 35, numeral 1 de la LIPEEO prevé que el Consejo General del Instituto es el órgano superior de dirección y deliberación, responsable de vigilar el cumplimiento de las disposiciones, principios constitucionales y legales en materia electoral, sus decisiones se asumen de manera colegiada y en sesión pública.</w:t>
      </w:r>
    </w:p>
    <w:p w14:paraId="69783FEC" w14:textId="77777777" w:rsidR="002F25EB" w:rsidRPr="00F74C7F" w:rsidRDefault="002F25EB" w:rsidP="00F74C7F">
      <w:pPr>
        <w:spacing w:after="0" w:line="276" w:lineRule="auto"/>
        <w:ind w:left="720"/>
        <w:rPr>
          <w:rFonts w:eastAsia="Arial" w:cs="Arial"/>
          <w:color w:val="000000"/>
          <w:szCs w:val="24"/>
        </w:rPr>
      </w:pPr>
    </w:p>
    <w:p w14:paraId="08655374" w14:textId="462A7E40" w:rsidR="007C1C4D" w:rsidRPr="007C1C4D" w:rsidRDefault="00D21F58" w:rsidP="007C1C4D">
      <w:pPr>
        <w:numPr>
          <w:ilvl w:val="0"/>
          <w:numId w:val="2"/>
        </w:numPr>
        <w:spacing w:after="0" w:line="276" w:lineRule="auto"/>
        <w:rPr>
          <w:rFonts w:eastAsia="Arial" w:cs="Arial"/>
          <w:b/>
          <w:bCs/>
          <w:color w:val="000000"/>
          <w:szCs w:val="24"/>
        </w:rPr>
      </w:pPr>
      <w:r w:rsidRPr="00D21F58">
        <w:rPr>
          <w:rFonts w:cs="Arial"/>
          <w:szCs w:val="24"/>
        </w:rPr>
        <w:t>De conformidad con lo dispuesto en el artículo 38, fracciones I, II, III, XXXII y XXXVII de la LIPEEO</w:t>
      </w:r>
      <w:r w:rsidR="004E2141">
        <w:rPr>
          <w:rFonts w:cs="Arial"/>
          <w:szCs w:val="24"/>
        </w:rPr>
        <w:t xml:space="preserve">, </w:t>
      </w:r>
      <w:r w:rsidRPr="00D21F58">
        <w:rPr>
          <w:rFonts w:cs="Arial"/>
          <w:szCs w:val="24"/>
        </w:rPr>
        <w:t>el Consejo General cuenta con diversas atribuciones dentro de las cuales se encuentran: dictar los acuerdos necesarios para la debida aplicación de las disposiciones generales, reglas, lineamientos, criterios y formatos que, en ejercicio de las facultades le confiere la Constitución Federal, la LGIPE, y que establezca el INE</w:t>
      </w:r>
      <w:r w:rsidR="00304D16">
        <w:rPr>
          <w:rFonts w:cs="Arial"/>
          <w:szCs w:val="24"/>
        </w:rPr>
        <w:t>, entre los que se encuentran</w:t>
      </w:r>
      <w:r w:rsidR="00C30201">
        <w:rPr>
          <w:rFonts w:cs="Arial"/>
          <w:szCs w:val="24"/>
        </w:rPr>
        <w:t xml:space="preserve">; </w:t>
      </w:r>
      <w:r w:rsidRPr="00D21F58">
        <w:rPr>
          <w:rFonts w:cs="Arial"/>
          <w:szCs w:val="24"/>
        </w:rPr>
        <w:t xml:space="preserve">llevar a cabo la preparación, desarrollo y vigilancia de los procesos de participación ciudadana, en los términos previstos en la Constitución Federal, la Constitución Local y la </w:t>
      </w:r>
      <w:r w:rsidR="00304D16">
        <w:rPr>
          <w:rFonts w:cs="Arial"/>
          <w:szCs w:val="24"/>
        </w:rPr>
        <w:t>LGIPE</w:t>
      </w:r>
      <w:r w:rsidRPr="00D21F58">
        <w:rPr>
          <w:rFonts w:cs="Arial"/>
          <w:szCs w:val="24"/>
        </w:rPr>
        <w:t xml:space="preserve">, cuidando el adecuado funcionamiento de los organismos electorales; aprobar y expedir los reglamentos internos y lineamientos necesarios para el debido ejercicio de las facultades y atribuciones del Instituto; organizar, desarrollar, vigilar y validar los mecanismos de participación ciudadana establecidos en la legislación del Estado de Oaxaca; realizar el cómputo de votos, declarar los resultados y ordenar su publicación en el Periódico Oficial; así como la relativa a </w:t>
      </w:r>
      <w:r w:rsidR="004D0E8F" w:rsidRPr="00D21F58">
        <w:rPr>
          <w:rFonts w:cs="Arial"/>
          <w:szCs w:val="24"/>
        </w:rPr>
        <w:t xml:space="preserve">desarrollar las actividades necesarias que se requieran para garantizar el derecho de la ciudadanía a realizar labores de observación </w:t>
      </w:r>
      <w:r w:rsidR="0000068E">
        <w:rPr>
          <w:rFonts w:cs="Arial"/>
          <w:szCs w:val="24"/>
        </w:rPr>
        <w:t>de los mecanismos de participación ciudadana que se implementen en la entidad.</w:t>
      </w:r>
    </w:p>
    <w:p w14:paraId="3E13D5EF" w14:textId="77777777" w:rsidR="007C1C4D" w:rsidRDefault="007C1C4D" w:rsidP="007C1C4D">
      <w:pPr>
        <w:spacing w:after="0" w:line="276" w:lineRule="auto"/>
        <w:ind w:left="720"/>
        <w:rPr>
          <w:rFonts w:eastAsia="Arial" w:cs="Arial"/>
          <w:b/>
          <w:bCs/>
          <w:color w:val="000000"/>
          <w:szCs w:val="24"/>
        </w:rPr>
      </w:pPr>
    </w:p>
    <w:p w14:paraId="55AD267A" w14:textId="33F72036" w:rsidR="003220EB" w:rsidRPr="007C1C4D" w:rsidRDefault="002F25EB" w:rsidP="007C1C4D">
      <w:pPr>
        <w:numPr>
          <w:ilvl w:val="0"/>
          <w:numId w:val="2"/>
        </w:numPr>
        <w:spacing w:after="0" w:line="276" w:lineRule="auto"/>
        <w:rPr>
          <w:rFonts w:eastAsia="Arial" w:cs="Arial"/>
          <w:b/>
          <w:bCs/>
          <w:color w:val="000000"/>
          <w:szCs w:val="24"/>
        </w:rPr>
      </w:pPr>
      <w:r w:rsidRPr="007C1C4D">
        <w:rPr>
          <w:rFonts w:eastAsia="Arial" w:cs="Arial"/>
          <w:color w:val="000000"/>
          <w:szCs w:val="24"/>
        </w:rPr>
        <w:t xml:space="preserve">De forma específica, en materia de </w:t>
      </w:r>
      <w:r w:rsidR="007A0BBC" w:rsidRPr="007C1C4D">
        <w:rPr>
          <w:rFonts w:eastAsia="Arial" w:cs="Arial"/>
          <w:color w:val="000000"/>
          <w:szCs w:val="24"/>
        </w:rPr>
        <w:t>R</w:t>
      </w:r>
      <w:r w:rsidRPr="007C1C4D">
        <w:rPr>
          <w:rFonts w:eastAsia="Arial" w:cs="Arial"/>
          <w:color w:val="000000"/>
          <w:szCs w:val="24"/>
        </w:rPr>
        <w:t xml:space="preserve">evocación de </w:t>
      </w:r>
      <w:r w:rsidR="007A0BBC" w:rsidRPr="007C1C4D">
        <w:rPr>
          <w:rFonts w:eastAsia="Arial" w:cs="Arial"/>
          <w:color w:val="000000"/>
          <w:szCs w:val="24"/>
        </w:rPr>
        <w:t>M</w:t>
      </w:r>
      <w:r w:rsidRPr="007C1C4D">
        <w:rPr>
          <w:rFonts w:eastAsia="Arial" w:cs="Arial"/>
          <w:color w:val="000000"/>
          <w:szCs w:val="24"/>
        </w:rPr>
        <w:t xml:space="preserve">andato, el artículo 4°, párrafo </w:t>
      </w:r>
      <w:r w:rsidR="003E2BA8" w:rsidRPr="007C1C4D">
        <w:rPr>
          <w:rFonts w:eastAsia="Arial" w:cs="Arial"/>
          <w:color w:val="000000"/>
          <w:szCs w:val="24"/>
        </w:rPr>
        <w:t xml:space="preserve">primero </w:t>
      </w:r>
      <w:r w:rsidRPr="007C1C4D">
        <w:rPr>
          <w:rFonts w:eastAsia="Arial" w:cs="Arial"/>
          <w:color w:val="000000"/>
          <w:szCs w:val="24"/>
        </w:rPr>
        <w:t>de la Ley de Revocación de Mandato para el Estado de Oaxaca</w:t>
      </w:r>
      <w:r w:rsidR="00C257B7" w:rsidRPr="007C1C4D">
        <w:rPr>
          <w:rFonts w:eastAsia="Arial" w:cs="Arial"/>
          <w:color w:val="000000"/>
          <w:szCs w:val="24"/>
        </w:rPr>
        <w:t xml:space="preserve"> establece </w:t>
      </w:r>
      <w:r w:rsidR="00F369C3" w:rsidRPr="007C1C4D">
        <w:rPr>
          <w:rFonts w:eastAsia="Arial" w:cs="Arial"/>
          <w:color w:val="000000"/>
          <w:szCs w:val="24"/>
        </w:rPr>
        <w:t xml:space="preserve">que el IEEPCO, en el ámbito de sus competencias, </w:t>
      </w:r>
      <w:r w:rsidR="00A6174C" w:rsidRPr="007C1C4D">
        <w:rPr>
          <w:rFonts w:eastAsia="Arial" w:cs="Arial"/>
          <w:color w:val="000000"/>
          <w:szCs w:val="24"/>
        </w:rPr>
        <w:t xml:space="preserve">le corresponde la aplicación de las disposiciones previstas </w:t>
      </w:r>
      <w:r w:rsidR="00333AD7" w:rsidRPr="007C1C4D">
        <w:rPr>
          <w:rFonts w:eastAsia="Arial" w:cs="Arial"/>
          <w:color w:val="000000"/>
          <w:szCs w:val="24"/>
        </w:rPr>
        <w:t>en dicha normativa</w:t>
      </w:r>
      <w:r w:rsidR="005B0DC2" w:rsidRPr="007C1C4D">
        <w:rPr>
          <w:rFonts w:eastAsia="Arial" w:cs="Arial"/>
          <w:color w:val="000000"/>
          <w:szCs w:val="24"/>
        </w:rPr>
        <w:t>.</w:t>
      </w:r>
    </w:p>
    <w:p w14:paraId="6C32A14B" w14:textId="77777777" w:rsidR="00080769" w:rsidRPr="00F74C7F" w:rsidRDefault="00080769" w:rsidP="00F74C7F">
      <w:pPr>
        <w:spacing w:after="0" w:line="276" w:lineRule="auto"/>
        <w:ind w:left="720"/>
        <w:rPr>
          <w:rFonts w:eastAsia="Arial" w:cs="Arial"/>
          <w:color w:val="000000"/>
          <w:szCs w:val="24"/>
        </w:rPr>
      </w:pPr>
    </w:p>
    <w:p w14:paraId="60B3F55F" w14:textId="59BAD34B" w:rsidR="00B40660" w:rsidRPr="00022D23" w:rsidRDefault="00096238" w:rsidP="00022D23">
      <w:pPr>
        <w:numPr>
          <w:ilvl w:val="0"/>
          <w:numId w:val="2"/>
        </w:numPr>
        <w:spacing w:after="0" w:line="276" w:lineRule="auto"/>
        <w:rPr>
          <w:rFonts w:eastAsia="Arial" w:cs="Arial"/>
          <w:color w:val="000000"/>
          <w:szCs w:val="24"/>
        </w:rPr>
      </w:pPr>
      <w:r w:rsidRPr="00F74C7F">
        <w:rPr>
          <w:rFonts w:eastAsia="Arial" w:cs="Arial"/>
          <w:color w:val="000000"/>
          <w:szCs w:val="24"/>
        </w:rPr>
        <w:t xml:space="preserve">Por su parte, </w:t>
      </w:r>
      <w:r w:rsidR="0081721C" w:rsidRPr="00F74C7F">
        <w:rPr>
          <w:rFonts w:eastAsia="Arial" w:cs="Arial"/>
          <w:color w:val="000000"/>
          <w:szCs w:val="24"/>
        </w:rPr>
        <w:t>el artículo 29, fracción III de la</w:t>
      </w:r>
      <w:r w:rsidR="002E1EA7" w:rsidRPr="002E1EA7">
        <w:rPr>
          <w:rFonts w:eastAsia="Arial" w:cs="Arial"/>
          <w:color w:val="000000"/>
          <w:szCs w:val="24"/>
        </w:rPr>
        <w:t xml:space="preserve"> </w:t>
      </w:r>
      <w:r w:rsidR="002E1EA7">
        <w:rPr>
          <w:rFonts w:eastAsia="Arial" w:cs="Arial"/>
          <w:color w:val="000000"/>
          <w:szCs w:val="24"/>
        </w:rPr>
        <w:t>Ley de Revocación de Mandato para el Estado de Oaxaca</w:t>
      </w:r>
      <w:r w:rsidR="00B72CD8">
        <w:rPr>
          <w:rFonts w:eastAsia="Arial" w:cs="Arial"/>
          <w:color w:val="000000"/>
          <w:szCs w:val="24"/>
        </w:rPr>
        <w:t xml:space="preserve">, </w:t>
      </w:r>
      <w:r w:rsidR="0081721C" w:rsidRPr="00F74C7F">
        <w:rPr>
          <w:rFonts w:eastAsia="Arial" w:cs="Arial"/>
          <w:color w:val="000000"/>
          <w:szCs w:val="24"/>
        </w:rPr>
        <w:t xml:space="preserve">dota a este Instituto de la facultad reglamentaria para </w:t>
      </w:r>
      <w:r w:rsidR="00141D14" w:rsidRPr="00F74C7F">
        <w:rPr>
          <w:rFonts w:eastAsia="Arial" w:cs="Arial"/>
          <w:color w:val="000000"/>
          <w:szCs w:val="24"/>
        </w:rPr>
        <w:t xml:space="preserve">emitir y aprobar los lineamientos o acuerdos </w:t>
      </w:r>
      <w:r w:rsidR="006C5822" w:rsidRPr="00F74C7F">
        <w:rPr>
          <w:rFonts w:eastAsia="Arial" w:cs="Arial"/>
          <w:color w:val="000000"/>
          <w:szCs w:val="24"/>
        </w:rPr>
        <w:t>precisos</w:t>
      </w:r>
      <w:r w:rsidR="00141D14" w:rsidRPr="00F74C7F">
        <w:rPr>
          <w:rFonts w:eastAsia="Arial" w:cs="Arial"/>
          <w:color w:val="000000"/>
          <w:szCs w:val="24"/>
        </w:rPr>
        <w:t xml:space="preserve"> para llevar a cabo la organización y desarrollo de la</w:t>
      </w:r>
      <w:r w:rsidR="002C349F" w:rsidRPr="00F74C7F">
        <w:rPr>
          <w:rFonts w:eastAsia="Arial" w:cs="Arial"/>
          <w:color w:val="000000"/>
          <w:szCs w:val="24"/>
        </w:rPr>
        <w:t xml:space="preserve">s </w:t>
      </w:r>
      <w:r w:rsidR="00A526DD">
        <w:rPr>
          <w:rFonts w:eastAsia="Arial" w:cs="Arial"/>
          <w:color w:val="000000"/>
          <w:szCs w:val="24"/>
        </w:rPr>
        <w:t>R</w:t>
      </w:r>
      <w:r w:rsidR="002C349F" w:rsidRPr="00F74C7F">
        <w:rPr>
          <w:rFonts w:eastAsia="Arial" w:cs="Arial"/>
          <w:color w:val="000000"/>
          <w:szCs w:val="24"/>
        </w:rPr>
        <w:t xml:space="preserve">evocaciones de </w:t>
      </w:r>
      <w:r w:rsidR="00A526DD">
        <w:rPr>
          <w:rFonts w:eastAsia="Arial" w:cs="Arial"/>
          <w:color w:val="000000"/>
          <w:szCs w:val="24"/>
        </w:rPr>
        <w:t>M</w:t>
      </w:r>
      <w:r w:rsidR="002C349F" w:rsidRPr="00F74C7F">
        <w:rPr>
          <w:rFonts w:eastAsia="Arial" w:cs="Arial"/>
          <w:color w:val="000000"/>
          <w:szCs w:val="24"/>
        </w:rPr>
        <w:t xml:space="preserve">andato. </w:t>
      </w:r>
      <w:r w:rsidR="002E1EA7">
        <w:rPr>
          <w:rFonts w:eastAsia="Arial" w:cs="Arial"/>
          <w:color w:val="000000"/>
          <w:szCs w:val="24"/>
        </w:rPr>
        <w:t xml:space="preserve"> </w:t>
      </w:r>
    </w:p>
    <w:p w14:paraId="331D7B3F" w14:textId="77777777" w:rsidR="00A509B7" w:rsidRPr="00F74C7F" w:rsidRDefault="00A509B7" w:rsidP="00F74C7F">
      <w:pPr>
        <w:spacing w:after="0" w:line="276" w:lineRule="auto"/>
        <w:ind w:left="720"/>
        <w:rPr>
          <w:rFonts w:eastAsia="Arial" w:cs="Arial"/>
          <w:color w:val="000000"/>
          <w:szCs w:val="24"/>
        </w:rPr>
      </w:pPr>
    </w:p>
    <w:p w14:paraId="6A25F53B" w14:textId="2A3A2AC0" w:rsidR="00C114A9" w:rsidRDefault="00D21F58" w:rsidP="007C1C4D">
      <w:pPr>
        <w:numPr>
          <w:ilvl w:val="0"/>
          <w:numId w:val="2"/>
        </w:numPr>
        <w:spacing w:after="0" w:line="276" w:lineRule="auto"/>
        <w:rPr>
          <w:rFonts w:eastAsia="Arial" w:cs="Arial"/>
          <w:color w:val="000000"/>
          <w:szCs w:val="24"/>
        </w:rPr>
      </w:pPr>
      <w:r>
        <w:rPr>
          <w:rFonts w:eastAsia="Arial" w:cs="Arial"/>
          <w:color w:val="000000"/>
          <w:szCs w:val="24"/>
        </w:rPr>
        <w:t>El artículo 7 de los Lineamientos de Revocación de Mandato establece que</w:t>
      </w:r>
      <w:r w:rsidRPr="00271B2C">
        <w:rPr>
          <w:rFonts w:eastAsia="Arial" w:cs="Arial"/>
          <w:color w:val="000000"/>
          <w:szCs w:val="24"/>
        </w:rPr>
        <w:t xml:space="preserve"> </w:t>
      </w:r>
      <w:r>
        <w:rPr>
          <w:rFonts w:eastAsia="Arial" w:cs="Arial"/>
          <w:color w:val="000000"/>
          <w:szCs w:val="24"/>
        </w:rPr>
        <w:t xml:space="preserve">este Instituto </w:t>
      </w:r>
      <w:r w:rsidRPr="00271B2C">
        <w:rPr>
          <w:rFonts w:eastAsia="Arial" w:cs="Arial"/>
          <w:color w:val="000000"/>
          <w:szCs w:val="24"/>
        </w:rPr>
        <w:t>podrá celebrar convenio de coordinación y colaboración con el INE</w:t>
      </w:r>
      <w:r>
        <w:rPr>
          <w:rFonts w:eastAsia="Arial" w:cs="Arial"/>
          <w:color w:val="000000"/>
          <w:szCs w:val="24"/>
        </w:rPr>
        <w:t xml:space="preserve"> y, </w:t>
      </w:r>
      <w:r w:rsidRPr="00271B2C">
        <w:rPr>
          <w:rFonts w:eastAsia="Arial" w:cs="Arial"/>
          <w:color w:val="000000"/>
          <w:szCs w:val="24"/>
        </w:rPr>
        <w:t xml:space="preserve">de acuerdo </w:t>
      </w:r>
      <w:r>
        <w:rPr>
          <w:rFonts w:eastAsia="Arial" w:cs="Arial"/>
          <w:color w:val="000000"/>
          <w:szCs w:val="24"/>
        </w:rPr>
        <w:t>con</w:t>
      </w:r>
      <w:r w:rsidRPr="00271B2C">
        <w:rPr>
          <w:rFonts w:eastAsia="Arial" w:cs="Arial"/>
          <w:color w:val="000000"/>
          <w:szCs w:val="24"/>
        </w:rPr>
        <w:t xml:space="preserve"> la respuesta de</w:t>
      </w:r>
      <w:r>
        <w:rPr>
          <w:rFonts w:eastAsia="Arial" w:cs="Arial"/>
          <w:color w:val="000000"/>
          <w:szCs w:val="24"/>
        </w:rPr>
        <w:t xml:space="preserve"> este último, podrá </w:t>
      </w:r>
      <w:r w:rsidRPr="00271B2C">
        <w:rPr>
          <w:rFonts w:eastAsia="Arial" w:cs="Arial"/>
          <w:color w:val="000000"/>
          <w:szCs w:val="24"/>
        </w:rPr>
        <w:t>llevar a cabo las acciones necesarias para el desarrollo del Proceso de R</w:t>
      </w:r>
      <w:r>
        <w:rPr>
          <w:rFonts w:eastAsia="Arial" w:cs="Arial"/>
          <w:color w:val="000000"/>
          <w:szCs w:val="24"/>
        </w:rPr>
        <w:t xml:space="preserve">evocación de </w:t>
      </w:r>
      <w:r w:rsidRPr="00271B2C">
        <w:rPr>
          <w:rFonts w:eastAsia="Arial" w:cs="Arial"/>
          <w:color w:val="000000"/>
          <w:szCs w:val="24"/>
        </w:rPr>
        <w:t>M</w:t>
      </w:r>
      <w:r>
        <w:rPr>
          <w:rFonts w:eastAsia="Arial" w:cs="Arial"/>
          <w:color w:val="000000"/>
          <w:szCs w:val="24"/>
        </w:rPr>
        <w:t>andato</w:t>
      </w:r>
      <w:r w:rsidRPr="00271B2C">
        <w:rPr>
          <w:rFonts w:eastAsia="Arial" w:cs="Arial"/>
          <w:color w:val="000000"/>
          <w:szCs w:val="24"/>
        </w:rPr>
        <w:t>,</w:t>
      </w:r>
      <w:r>
        <w:rPr>
          <w:rFonts w:eastAsia="Arial" w:cs="Arial"/>
          <w:color w:val="000000"/>
          <w:szCs w:val="24"/>
        </w:rPr>
        <w:t xml:space="preserve"> entre éstas las referidas a la observació</w:t>
      </w:r>
      <w:r w:rsidR="005C3E69">
        <w:rPr>
          <w:rFonts w:eastAsia="Arial" w:cs="Arial"/>
          <w:color w:val="000000"/>
          <w:szCs w:val="24"/>
        </w:rPr>
        <w:t>n</w:t>
      </w:r>
      <w:r>
        <w:rPr>
          <w:rFonts w:eastAsia="Arial" w:cs="Arial"/>
          <w:color w:val="000000"/>
          <w:szCs w:val="24"/>
        </w:rPr>
        <w:t>.</w:t>
      </w:r>
    </w:p>
    <w:p w14:paraId="0E9633CD" w14:textId="77777777" w:rsidR="007C1C4D" w:rsidRPr="007C1C4D" w:rsidRDefault="007C1C4D" w:rsidP="007C1C4D">
      <w:pPr>
        <w:spacing w:after="0" w:line="276" w:lineRule="auto"/>
        <w:ind w:left="720"/>
        <w:rPr>
          <w:rFonts w:eastAsia="Arial" w:cs="Arial"/>
          <w:color w:val="000000"/>
          <w:szCs w:val="24"/>
        </w:rPr>
      </w:pPr>
    </w:p>
    <w:p w14:paraId="35ABBF1B" w14:textId="62D5C399" w:rsidR="009F66E9" w:rsidRPr="000E7011" w:rsidRDefault="00596009" w:rsidP="00833C6E">
      <w:pPr>
        <w:numPr>
          <w:ilvl w:val="0"/>
          <w:numId w:val="2"/>
        </w:numPr>
        <w:spacing w:after="0" w:line="276" w:lineRule="auto"/>
        <w:rPr>
          <w:rFonts w:eastAsia="Arial" w:cs="Arial"/>
          <w:color w:val="000000"/>
          <w:szCs w:val="24"/>
        </w:rPr>
      </w:pPr>
      <w:r w:rsidRPr="00406CEC">
        <w:rPr>
          <w:rFonts w:cs="Arial"/>
        </w:rPr>
        <w:t xml:space="preserve">Asimismo, </w:t>
      </w:r>
      <w:r w:rsidR="00A97216" w:rsidRPr="00406CEC">
        <w:rPr>
          <w:rFonts w:cs="Arial"/>
        </w:rPr>
        <w:t xml:space="preserve">con el propósito de establecer las bases de coordinación que permitan hacer efectiva la organización del proceso de participación ciudadana relativo a la </w:t>
      </w:r>
      <w:r w:rsidR="00F12AFB">
        <w:rPr>
          <w:rFonts w:cs="Arial"/>
        </w:rPr>
        <w:t>R</w:t>
      </w:r>
      <w:r w:rsidR="00A97216" w:rsidRPr="00406CEC">
        <w:rPr>
          <w:rFonts w:cs="Arial"/>
        </w:rPr>
        <w:t xml:space="preserve">evocación de </w:t>
      </w:r>
      <w:r w:rsidR="00F12AFB">
        <w:rPr>
          <w:rFonts w:cs="Arial"/>
        </w:rPr>
        <w:t>M</w:t>
      </w:r>
      <w:r w:rsidR="00A97216" w:rsidRPr="00406CEC">
        <w:rPr>
          <w:rFonts w:cs="Arial"/>
        </w:rPr>
        <w:t>andato del titular del poder ejecutivo del estado de Oaxaca 2026</w:t>
      </w:r>
      <w:r w:rsidR="00A97216" w:rsidRPr="00406CEC">
        <w:rPr>
          <w:rFonts w:cs="Arial"/>
          <w:color w:val="000000" w:themeColor="text1"/>
        </w:rPr>
        <w:t xml:space="preserve">, </w:t>
      </w:r>
      <w:r w:rsidRPr="00406CEC">
        <w:rPr>
          <w:rFonts w:cs="Arial"/>
        </w:rPr>
        <w:t xml:space="preserve">el </w:t>
      </w:r>
      <w:r w:rsidR="003877F2">
        <w:rPr>
          <w:rFonts w:cs="Arial"/>
        </w:rPr>
        <w:t>C</w:t>
      </w:r>
      <w:r w:rsidRPr="00406CEC">
        <w:rPr>
          <w:rFonts w:cs="Arial"/>
        </w:rPr>
        <w:t xml:space="preserve">onvenio </w:t>
      </w:r>
      <w:r w:rsidR="003877F2">
        <w:rPr>
          <w:rFonts w:cs="Arial"/>
        </w:rPr>
        <w:t>G</w:t>
      </w:r>
      <w:r w:rsidRPr="00406CEC">
        <w:rPr>
          <w:rFonts w:cs="Arial"/>
        </w:rPr>
        <w:t xml:space="preserve">eneral de </w:t>
      </w:r>
      <w:r w:rsidR="003877F2">
        <w:rPr>
          <w:rFonts w:cs="Arial"/>
        </w:rPr>
        <w:t>C</w:t>
      </w:r>
      <w:r w:rsidRPr="00406CEC">
        <w:rPr>
          <w:rFonts w:cs="Arial"/>
        </w:rPr>
        <w:t xml:space="preserve">oordinación y </w:t>
      </w:r>
      <w:r w:rsidR="003877F2">
        <w:rPr>
          <w:rFonts w:cs="Arial"/>
        </w:rPr>
        <w:t>C</w:t>
      </w:r>
      <w:r w:rsidRPr="00406CEC">
        <w:rPr>
          <w:rFonts w:cs="Arial"/>
        </w:rPr>
        <w:t>olaboración</w:t>
      </w:r>
      <w:r w:rsidR="000519C1" w:rsidRPr="00406CEC">
        <w:rPr>
          <w:rFonts w:cs="Arial"/>
        </w:rPr>
        <w:t xml:space="preserve"> suscrito por este Instituto </w:t>
      </w:r>
      <w:r w:rsidR="00A35A6C" w:rsidRPr="00406CEC">
        <w:rPr>
          <w:rFonts w:cs="Arial"/>
        </w:rPr>
        <w:t>en conjunto con el</w:t>
      </w:r>
      <w:r w:rsidR="000519C1" w:rsidRPr="00406CEC">
        <w:rPr>
          <w:rFonts w:cs="Arial"/>
        </w:rPr>
        <w:t xml:space="preserve"> INE</w:t>
      </w:r>
      <w:r w:rsidRPr="00406CEC">
        <w:rPr>
          <w:rFonts w:cs="Arial"/>
        </w:rPr>
        <w:t>,</w:t>
      </w:r>
      <w:bookmarkStart w:id="1" w:name="_Hlk211004354"/>
      <w:r w:rsidR="00A97216">
        <w:rPr>
          <w:rFonts w:cs="Arial"/>
        </w:rPr>
        <w:t xml:space="preserve"> en su </w:t>
      </w:r>
      <w:r w:rsidR="00A97216" w:rsidRPr="00EA159A">
        <w:rPr>
          <w:rFonts w:cs="Arial"/>
        </w:rPr>
        <w:t xml:space="preserve"> cláusula segunda numeral 8,</w:t>
      </w:r>
      <w:r w:rsidRPr="00EA159A">
        <w:rPr>
          <w:rFonts w:cs="Arial"/>
        </w:rPr>
        <w:t xml:space="preserve"> </w:t>
      </w:r>
      <w:r w:rsidR="00A97216" w:rsidRPr="00EA159A">
        <w:rPr>
          <w:rFonts w:cs="Arial"/>
        </w:rPr>
        <w:t xml:space="preserve">denominada </w:t>
      </w:r>
      <w:r w:rsidR="00D21F58" w:rsidRPr="00EA159A">
        <w:rPr>
          <w:rFonts w:cs="Arial"/>
        </w:rPr>
        <w:t>“O</w:t>
      </w:r>
      <w:r w:rsidR="00A97216" w:rsidRPr="00EA159A">
        <w:rPr>
          <w:rFonts w:cs="Arial"/>
        </w:rPr>
        <w:t>bservadoras y observadores</w:t>
      </w:r>
      <w:r w:rsidR="00A97216" w:rsidRPr="00406CEC">
        <w:rPr>
          <w:rFonts w:cs="Arial"/>
        </w:rPr>
        <w:t xml:space="preserve"> electorales</w:t>
      </w:r>
      <w:r w:rsidR="00D21F58">
        <w:rPr>
          <w:rFonts w:cs="Arial"/>
        </w:rPr>
        <w:t>”</w:t>
      </w:r>
      <w:r w:rsidR="00A97216">
        <w:rPr>
          <w:rFonts w:cs="Arial"/>
        </w:rPr>
        <w:t>,</w:t>
      </w:r>
      <w:r w:rsidR="00A97216" w:rsidRPr="00406CEC">
        <w:rPr>
          <w:rFonts w:cs="Arial"/>
        </w:rPr>
        <w:t xml:space="preserve"> </w:t>
      </w:r>
      <w:bookmarkEnd w:id="1"/>
      <w:r w:rsidR="00D21F58">
        <w:rPr>
          <w:rFonts w:cs="Arial"/>
          <w:color w:val="000000" w:themeColor="text1"/>
        </w:rPr>
        <w:t>previó</w:t>
      </w:r>
      <w:r w:rsidR="00D21F58" w:rsidRPr="00406CEC">
        <w:rPr>
          <w:rFonts w:cs="Arial"/>
          <w:color w:val="000000" w:themeColor="text1"/>
        </w:rPr>
        <w:t xml:space="preserve"> </w:t>
      </w:r>
      <w:r w:rsidR="00406CEC" w:rsidRPr="00406CEC">
        <w:rPr>
          <w:rFonts w:cs="Arial"/>
          <w:color w:val="000000" w:themeColor="text1"/>
        </w:rPr>
        <w:t xml:space="preserve">que las reglas para la acreditación </w:t>
      </w:r>
      <w:r w:rsidR="00363D43">
        <w:rPr>
          <w:rFonts w:cs="Arial"/>
          <w:color w:val="000000" w:themeColor="text1"/>
        </w:rPr>
        <w:t>de la ciudadanía</w:t>
      </w:r>
      <w:r w:rsidR="00A97216">
        <w:rPr>
          <w:rFonts w:cs="Arial"/>
          <w:color w:val="000000" w:themeColor="text1"/>
        </w:rPr>
        <w:t xml:space="preserve">, </w:t>
      </w:r>
      <w:r w:rsidR="00406CEC" w:rsidRPr="000E7011">
        <w:rPr>
          <w:rFonts w:cs="Arial"/>
          <w:color w:val="000000" w:themeColor="text1"/>
        </w:rPr>
        <w:t xml:space="preserve">serán establecidas de conformidad con lo dispuesto por la LGIPE; a su vez el </w:t>
      </w:r>
      <w:r w:rsidR="00A35A6C" w:rsidRPr="000E7011">
        <w:rPr>
          <w:rFonts w:cs="Arial"/>
          <w:color w:val="000000" w:themeColor="text1"/>
        </w:rPr>
        <w:t>inciso a</w:t>
      </w:r>
      <w:r w:rsidR="00D21F58">
        <w:rPr>
          <w:rFonts w:cs="Arial"/>
          <w:color w:val="000000" w:themeColor="text1"/>
        </w:rPr>
        <w:t>) de ese apartado</w:t>
      </w:r>
      <w:r w:rsidR="00A35A6C" w:rsidRPr="000E7011">
        <w:rPr>
          <w:rFonts w:cs="Arial"/>
          <w:color w:val="000000" w:themeColor="text1"/>
        </w:rPr>
        <w:t xml:space="preserve">, </w:t>
      </w:r>
      <w:r w:rsidR="00523136" w:rsidRPr="000E7011">
        <w:rPr>
          <w:rFonts w:cs="Arial"/>
          <w:color w:val="000000" w:themeColor="text1"/>
        </w:rPr>
        <w:t>estipuló que las actividades relacionadas con la obser</w:t>
      </w:r>
      <w:r w:rsidR="009F66E9" w:rsidRPr="000E7011">
        <w:rPr>
          <w:rFonts w:cs="Arial"/>
          <w:color w:val="000000" w:themeColor="text1"/>
        </w:rPr>
        <w:t xml:space="preserve">vación </w:t>
      </w:r>
      <w:r w:rsidR="006F1DE8">
        <w:rPr>
          <w:rFonts w:cs="Arial"/>
          <w:color w:val="000000" w:themeColor="text1"/>
        </w:rPr>
        <w:t xml:space="preserve">en el proceso de Revocación de Mandato </w:t>
      </w:r>
      <w:r w:rsidR="009F66E9" w:rsidRPr="000E7011">
        <w:rPr>
          <w:rFonts w:cs="Arial"/>
          <w:color w:val="000000" w:themeColor="text1"/>
        </w:rPr>
        <w:t>estarán a cargo del IEEPCO</w:t>
      </w:r>
      <w:r w:rsidR="00406CEC" w:rsidRPr="000E7011">
        <w:rPr>
          <w:rFonts w:cs="Arial"/>
          <w:color w:val="000000" w:themeColor="text1"/>
        </w:rPr>
        <w:t>.</w:t>
      </w:r>
    </w:p>
    <w:p w14:paraId="40918E81" w14:textId="77777777" w:rsidR="00596009" w:rsidRPr="00596009" w:rsidRDefault="00596009" w:rsidP="00596009">
      <w:pPr>
        <w:spacing w:after="0" w:line="276" w:lineRule="auto"/>
        <w:ind w:left="720"/>
        <w:rPr>
          <w:rFonts w:eastAsia="Arial" w:cs="Arial"/>
          <w:color w:val="000000"/>
          <w:szCs w:val="24"/>
        </w:rPr>
      </w:pPr>
    </w:p>
    <w:p w14:paraId="1A5AC1EB" w14:textId="207915B1" w:rsidR="00092B0F" w:rsidRPr="00F74C7F" w:rsidRDefault="00D21F58" w:rsidP="00D21F58">
      <w:pPr>
        <w:numPr>
          <w:ilvl w:val="0"/>
          <w:numId w:val="2"/>
        </w:numPr>
        <w:spacing w:after="0" w:line="276" w:lineRule="auto"/>
        <w:rPr>
          <w:rFonts w:eastAsia="Arial" w:cs="Arial"/>
          <w:color w:val="000000"/>
          <w:szCs w:val="24"/>
        </w:rPr>
      </w:pPr>
      <w:r>
        <w:rPr>
          <w:rFonts w:cs="Arial"/>
        </w:rPr>
        <w:t>En consecuencia,</w:t>
      </w:r>
      <w:r w:rsidRPr="00406CEC">
        <w:rPr>
          <w:rFonts w:cs="Arial"/>
        </w:rPr>
        <w:t xml:space="preserve"> </w:t>
      </w:r>
      <w:r>
        <w:rPr>
          <w:rFonts w:cs="Arial"/>
          <w:szCs w:val="24"/>
        </w:rPr>
        <w:t>p</w:t>
      </w:r>
      <w:r w:rsidRPr="00F74C7F">
        <w:rPr>
          <w:rFonts w:cs="Arial"/>
          <w:szCs w:val="24"/>
        </w:rPr>
        <w:t>or</w:t>
      </w:r>
      <w:r>
        <w:rPr>
          <w:rFonts w:cs="Arial"/>
          <w:szCs w:val="24"/>
        </w:rPr>
        <w:t xml:space="preserve"> lo referido y fundamentado en este apartado y</w:t>
      </w:r>
      <w:r w:rsidR="00D64ABC">
        <w:rPr>
          <w:rFonts w:cs="Arial"/>
          <w:szCs w:val="24"/>
        </w:rPr>
        <w:t>,</w:t>
      </w:r>
      <w:r>
        <w:rPr>
          <w:rFonts w:cs="Arial"/>
          <w:szCs w:val="24"/>
        </w:rPr>
        <w:t xml:space="preserve"> </w:t>
      </w:r>
      <w:r>
        <w:rPr>
          <w:rFonts w:cs="Arial"/>
        </w:rPr>
        <w:t xml:space="preserve">en virtud de </w:t>
      </w:r>
      <w:r w:rsidRPr="00F74C7F">
        <w:rPr>
          <w:rFonts w:cs="Arial"/>
          <w:szCs w:val="24"/>
        </w:rPr>
        <w:t xml:space="preserve">que </w:t>
      </w:r>
      <w:r w:rsidRPr="003F04CE">
        <w:rPr>
          <w:rFonts w:cs="Arial"/>
          <w:szCs w:val="24"/>
        </w:rPr>
        <w:t>el Consejo General cuenta con la potestad expresa de emitir los cuerpos normativos</w:t>
      </w:r>
      <w:r w:rsidRPr="00F74C7F">
        <w:rPr>
          <w:rFonts w:cs="Arial"/>
          <w:szCs w:val="24"/>
        </w:rPr>
        <w:t xml:space="preserve"> relativos a la organización y desarrollo de los </w:t>
      </w:r>
      <w:r>
        <w:rPr>
          <w:rFonts w:cs="Arial"/>
          <w:szCs w:val="24"/>
        </w:rPr>
        <w:t>mecanismos de participación ciudadana</w:t>
      </w:r>
      <w:r w:rsidRPr="00C56704">
        <w:rPr>
          <w:rFonts w:cs="Arial"/>
          <w:szCs w:val="24"/>
        </w:rPr>
        <w:t xml:space="preserve">, </w:t>
      </w:r>
      <w:r w:rsidRPr="003F04CE">
        <w:rPr>
          <w:rFonts w:cs="Arial"/>
          <w:szCs w:val="24"/>
        </w:rPr>
        <w:t xml:space="preserve">incluido lo relativo a la observación </w:t>
      </w:r>
      <w:r w:rsidR="006F1DE8">
        <w:rPr>
          <w:rFonts w:cs="Arial"/>
          <w:szCs w:val="24"/>
        </w:rPr>
        <w:t xml:space="preserve"> en el proceso de Revocación de Mandato</w:t>
      </w:r>
      <w:r w:rsidR="00FB3226">
        <w:rPr>
          <w:rFonts w:cs="Arial"/>
          <w:szCs w:val="24"/>
        </w:rPr>
        <w:t xml:space="preserve">, </w:t>
      </w:r>
      <w:r w:rsidR="00A509B7" w:rsidRPr="00F74C7F">
        <w:rPr>
          <w:rFonts w:cs="Arial"/>
          <w:szCs w:val="24"/>
        </w:rPr>
        <w:t xml:space="preserve">resulta indispensable </w:t>
      </w:r>
      <w:r>
        <w:rPr>
          <w:rFonts w:cs="Arial"/>
          <w:szCs w:val="24"/>
        </w:rPr>
        <w:t xml:space="preserve">que este máximo órgano de dirección emita </w:t>
      </w:r>
      <w:r w:rsidR="00A509B7" w:rsidRPr="00F74C7F">
        <w:rPr>
          <w:rFonts w:cs="Arial"/>
          <w:szCs w:val="24"/>
        </w:rPr>
        <w:t>un documento rector</w:t>
      </w:r>
      <w:r w:rsidR="00C318E8" w:rsidRPr="00F74C7F">
        <w:rPr>
          <w:rFonts w:cs="Arial"/>
          <w:szCs w:val="24"/>
        </w:rPr>
        <w:t xml:space="preserve">, </w:t>
      </w:r>
      <w:r w:rsidR="006F1DE8">
        <w:rPr>
          <w:rFonts w:cs="Arial"/>
          <w:szCs w:val="24"/>
        </w:rPr>
        <w:t xml:space="preserve">específico </w:t>
      </w:r>
      <w:r>
        <w:rPr>
          <w:rFonts w:cs="Arial"/>
          <w:szCs w:val="24"/>
        </w:rPr>
        <w:t xml:space="preserve">que </w:t>
      </w:r>
      <w:r w:rsidR="00A509B7" w:rsidRPr="00F74C7F">
        <w:rPr>
          <w:rFonts w:cs="Arial"/>
          <w:szCs w:val="24"/>
        </w:rPr>
        <w:t>constitu</w:t>
      </w:r>
      <w:r>
        <w:rPr>
          <w:rFonts w:cs="Arial"/>
          <w:szCs w:val="24"/>
        </w:rPr>
        <w:t>ya</w:t>
      </w:r>
      <w:r w:rsidR="000C461A">
        <w:rPr>
          <w:rFonts w:cs="Arial"/>
          <w:szCs w:val="24"/>
        </w:rPr>
        <w:t xml:space="preserve"> </w:t>
      </w:r>
      <w:r>
        <w:rPr>
          <w:rFonts w:cs="Arial"/>
          <w:szCs w:val="24"/>
        </w:rPr>
        <w:t>una</w:t>
      </w:r>
      <w:r w:rsidRPr="00F74C7F">
        <w:rPr>
          <w:rFonts w:cs="Arial"/>
          <w:szCs w:val="24"/>
        </w:rPr>
        <w:t xml:space="preserve"> </w:t>
      </w:r>
      <w:r w:rsidR="00A509B7" w:rsidRPr="00F74C7F">
        <w:rPr>
          <w:rFonts w:cs="Arial"/>
          <w:szCs w:val="24"/>
        </w:rPr>
        <w:t>herramienta orientadora y rectora de</w:t>
      </w:r>
      <w:r w:rsidR="007F084C" w:rsidRPr="00F74C7F">
        <w:rPr>
          <w:rFonts w:cs="Arial"/>
          <w:szCs w:val="24"/>
        </w:rPr>
        <w:t xml:space="preserve"> </w:t>
      </w:r>
      <w:r w:rsidR="00987C2B">
        <w:rPr>
          <w:rFonts w:cs="Arial"/>
          <w:szCs w:val="24"/>
        </w:rPr>
        <w:t>dicha</w:t>
      </w:r>
      <w:r>
        <w:rPr>
          <w:rFonts w:cs="Arial"/>
          <w:szCs w:val="24"/>
        </w:rPr>
        <w:t xml:space="preserve"> figura de participación ciudadana</w:t>
      </w:r>
      <w:r w:rsidR="00E87E08">
        <w:rPr>
          <w:rFonts w:cs="Arial"/>
          <w:szCs w:val="24"/>
        </w:rPr>
        <w:t xml:space="preserve">. </w:t>
      </w:r>
    </w:p>
    <w:p w14:paraId="4BEB854F" w14:textId="77777777" w:rsidR="00092B0F" w:rsidRPr="00F74C7F" w:rsidRDefault="00092B0F" w:rsidP="00F74C7F">
      <w:pPr>
        <w:spacing w:after="0" w:line="276" w:lineRule="auto"/>
        <w:rPr>
          <w:rFonts w:cs="Arial"/>
          <w:szCs w:val="24"/>
        </w:rPr>
      </w:pPr>
    </w:p>
    <w:p w14:paraId="55DF8FF5" w14:textId="623DBC66" w:rsidR="00092B0F" w:rsidRPr="001D7176" w:rsidRDefault="00D21F58" w:rsidP="00F74C7F">
      <w:pPr>
        <w:spacing w:after="0" w:line="276" w:lineRule="auto"/>
        <w:rPr>
          <w:rFonts w:cs="Arial"/>
          <w:b/>
          <w:bCs/>
          <w:szCs w:val="24"/>
        </w:rPr>
      </w:pPr>
      <w:r>
        <w:rPr>
          <w:rFonts w:cs="Arial"/>
          <w:b/>
          <w:bCs/>
          <w:szCs w:val="24"/>
        </w:rPr>
        <w:t>Segundo</w:t>
      </w:r>
      <w:r w:rsidR="00092B0F" w:rsidRPr="00F74C7F">
        <w:rPr>
          <w:rFonts w:cs="Arial"/>
          <w:b/>
          <w:bCs/>
          <w:szCs w:val="24"/>
        </w:rPr>
        <w:t xml:space="preserve">. Del derecho a la observación </w:t>
      </w:r>
      <w:r w:rsidR="00A80B16">
        <w:rPr>
          <w:rFonts w:cs="Arial"/>
          <w:b/>
          <w:bCs/>
          <w:szCs w:val="24"/>
        </w:rPr>
        <w:t xml:space="preserve">en el Proceso de Revocación de Mandato </w:t>
      </w:r>
      <w:r w:rsidR="00A80B16" w:rsidRPr="00F74C7F">
        <w:rPr>
          <w:rFonts w:cs="Arial"/>
          <w:b/>
          <w:bCs/>
          <w:szCs w:val="24"/>
        </w:rPr>
        <w:t xml:space="preserve">de la persona titular de la </w:t>
      </w:r>
      <w:r w:rsidR="00DF3F92">
        <w:rPr>
          <w:rFonts w:cs="Arial"/>
          <w:b/>
          <w:bCs/>
          <w:szCs w:val="24"/>
        </w:rPr>
        <w:t>G</w:t>
      </w:r>
      <w:r w:rsidR="00A80B16" w:rsidRPr="00F74C7F">
        <w:rPr>
          <w:rFonts w:cs="Arial"/>
          <w:b/>
          <w:bCs/>
          <w:szCs w:val="24"/>
        </w:rPr>
        <w:t xml:space="preserve">ubernatura del </w:t>
      </w:r>
      <w:r w:rsidR="00A80B16">
        <w:rPr>
          <w:rFonts w:cs="Arial"/>
          <w:b/>
          <w:bCs/>
          <w:szCs w:val="24"/>
        </w:rPr>
        <w:t>E</w:t>
      </w:r>
      <w:r w:rsidR="00A80B16" w:rsidRPr="00F74C7F">
        <w:rPr>
          <w:rFonts w:cs="Arial"/>
          <w:b/>
          <w:bCs/>
          <w:szCs w:val="24"/>
        </w:rPr>
        <w:t xml:space="preserve">stado de </w:t>
      </w:r>
      <w:r w:rsidR="00A80B16">
        <w:rPr>
          <w:rFonts w:cs="Arial"/>
          <w:b/>
          <w:bCs/>
          <w:szCs w:val="24"/>
        </w:rPr>
        <w:t>O</w:t>
      </w:r>
      <w:r w:rsidR="00A80B16" w:rsidRPr="00F74C7F">
        <w:rPr>
          <w:rFonts w:cs="Arial"/>
          <w:b/>
          <w:bCs/>
          <w:szCs w:val="24"/>
        </w:rPr>
        <w:t>axaca, para el periodo constitucional 2022-2028.</w:t>
      </w:r>
    </w:p>
    <w:p w14:paraId="613F04E4" w14:textId="77777777" w:rsidR="006839B0" w:rsidRDefault="006839B0" w:rsidP="00943545">
      <w:pPr>
        <w:spacing w:after="0" w:line="276" w:lineRule="auto"/>
        <w:rPr>
          <w:rFonts w:eastAsia="Arial" w:cs="Arial"/>
          <w:color w:val="000000"/>
          <w:szCs w:val="24"/>
        </w:rPr>
      </w:pPr>
    </w:p>
    <w:p w14:paraId="65B73A6F" w14:textId="478C0620" w:rsidR="0095278C" w:rsidRDefault="0095278C" w:rsidP="00F74C7F">
      <w:pPr>
        <w:numPr>
          <w:ilvl w:val="0"/>
          <w:numId w:val="2"/>
        </w:numPr>
        <w:spacing w:after="0" w:line="276" w:lineRule="auto"/>
        <w:rPr>
          <w:rFonts w:eastAsia="Arial" w:cs="Arial"/>
          <w:color w:val="000000"/>
          <w:szCs w:val="24"/>
        </w:rPr>
      </w:pPr>
      <w:r>
        <w:rPr>
          <w:rFonts w:eastAsia="Arial" w:cs="Arial"/>
          <w:color w:val="000000"/>
          <w:szCs w:val="24"/>
        </w:rPr>
        <w:t xml:space="preserve">El </w:t>
      </w:r>
      <w:r w:rsidR="0063155F">
        <w:rPr>
          <w:rFonts w:eastAsia="Arial" w:cs="Arial"/>
          <w:color w:val="000000"/>
          <w:szCs w:val="24"/>
        </w:rPr>
        <w:t>artículo 8, numeral 2 de la L</w:t>
      </w:r>
      <w:r w:rsidR="001B2B17">
        <w:rPr>
          <w:rFonts w:eastAsia="Arial" w:cs="Arial"/>
          <w:color w:val="000000"/>
          <w:szCs w:val="24"/>
        </w:rPr>
        <w:t>GIPE</w:t>
      </w:r>
      <w:r w:rsidR="0063155F">
        <w:rPr>
          <w:rFonts w:eastAsia="Arial" w:cs="Arial"/>
          <w:color w:val="000000"/>
          <w:szCs w:val="24"/>
        </w:rPr>
        <w:t xml:space="preserve"> precisa que es un derecho exclusivo de la ciudadanía participar como observador</w:t>
      </w:r>
      <w:r w:rsidR="00994C1E">
        <w:rPr>
          <w:rFonts w:eastAsia="Arial" w:cs="Arial"/>
          <w:color w:val="000000"/>
          <w:szCs w:val="24"/>
        </w:rPr>
        <w:t>a</w:t>
      </w:r>
      <w:r w:rsidR="0063155F">
        <w:rPr>
          <w:rFonts w:eastAsia="Arial" w:cs="Arial"/>
          <w:color w:val="000000"/>
          <w:szCs w:val="24"/>
        </w:rPr>
        <w:t xml:space="preserve"> de los actos de preparación y desarrollo de</w:t>
      </w:r>
      <w:r w:rsidR="009A3C8D">
        <w:rPr>
          <w:rFonts w:eastAsia="Arial" w:cs="Arial"/>
          <w:color w:val="000000"/>
          <w:szCs w:val="24"/>
        </w:rPr>
        <w:t xml:space="preserve"> las formas de participación ciudadana</w:t>
      </w:r>
      <w:r w:rsidR="00466998">
        <w:rPr>
          <w:rFonts w:eastAsia="Arial" w:cs="Arial"/>
          <w:color w:val="000000"/>
          <w:szCs w:val="24"/>
        </w:rPr>
        <w:t xml:space="preserve">. </w:t>
      </w:r>
    </w:p>
    <w:p w14:paraId="6C3FB428" w14:textId="77777777" w:rsidR="00943545" w:rsidRDefault="00943545" w:rsidP="00943545">
      <w:pPr>
        <w:spacing w:after="0" w:line="276" w:lineRule="auto"/>
        <w:ind w:left="720"/>
        <w:rPr>
          <w:rFonts w:eastAsia="Arial" w:cs="Arial"/>
          <w:color w:val="000000"/>
          <w:szCs w:val="24"/>
        </w:rPr>
      </w:pPr>
    </w:p>
    <w:p w14:paraId="2C319901" w14:textId="77777777" w:rsidR="00943545" w:rsidRPr="008313A0" w:rsidRDefault="00943545" w:rsidP="00943545">
      <w:pPr>
        <w:numPr>
          <w:ilvl w:val="0"/>
          <w:numId w:val="2"/>
        </w:numPr>
        <w:spacing w:after="0" w:line="276" w:lineRule="auto"/>
        <w:rPr>
          <w:rFonts w:eastAsia="Arial" w:cs="Arial"/>
          <w:color w:val="000000"/>
          <w:szCs w:val="24"/>
        </w:rPr>
      </w:pPr>
      <w:r w:rsidRPr="008313A0">
        <w:rPr>
          <w:rFonts w:eastAsia="Arial" w:cs="Arial"/>
          <w:color w:val="000000"/>
          <w:szCs w:val="24"/>
        </w:rPr>
        <w:lastRenderedPageBreak/>
        <w:t xml:space="preserve">La Constitución Local, en su artículo 24, fracción IX prevé que es una de las prerrogativas de la ciudadanía oaxaqueña participar en la observación de los mecanismos de participación ciudadana que se implementen en la entidad. </w:t>
      </w:r>
    </w:p>
    <w:p w14:paraId="55471591" w14:textId="77777777" w:rsidR="0063155F" w:rsidRDefault="0063155F" w:rsidP="0063155F">
      <w:pPr>
        <w:spacing w:after="0" w:line="276" w:lineRule="auto"/>
        <w:ind w:left="720"/>
        <w:rPr>
          <w:rFonts w:eastAsia="Arial" w:cs="Arial"/>
          <w:color w:val="000000"/>
          <w:szCs w:val="24"/>
        </w:rPr>
      </w:pPr>
    </w:p>
    <w:p w14:paraId="1A3FB943" w14:textId="16C6524D" w:rsidR="00E53A2D" w:rsidRDefault="00A97216" w:rsidP="00E53A2D">
      <w:pPr>
        <w:numPr>
          <w:ilvl w:val="0"/>
          <w:numId w:val="2"/>
        </w:numPr>
        <w:spacing w:after="0" w:line="276" w:lineRule="auto"/>
        <w:rPr>
          <w:rFonts w:eastAsia="Arial" w:cs="Arial"/>
          <w:color w:val="000000"/>
          <w:szCs w:val="24"/>
        </w:rPr>
      </w:pPr>
      <w:r w:rsidRPr="00166DBD">
        <w:rPr>
          <w:rFonts w:eastAsia="Arial" w:cs="Arial"/>
          <w:color w:val="000000"/>
          <w:szCs w:val="24"/>
        </w:rPr>
        <w:t xml:space="preserve">Por su parte, el artículo 13, fracción IV de la LIPEEO establece </w:t>
      </w:r>
      <w:r>
        <w:rPr>
          <w:rFonts w:eastAsia="Arial" w:cs="Arial"/>
          <w:color w:val="000000"/>
          <w:szCs w:val="24"/>
        </w:rPr>
        <w:t xml:space="preserve">que es una de las prerrogativas de la ciudadanía oaxaqueña </w:t>
      </w:r>
      <w:r w:rsidRPr="00166DBD">
        <w:rPr>
          <w:rFonts w:eastAsia="Arial" w:cs="Arial"/>
          <w:color w:val="000000"/>
          <w:szCs w:val="24"/>
        </w:rPr>
        <w:t xml:space="preserve">participar </w:t>
      </w:r>
      <w:r>
        <w:rPr>
          <w:rFonts w:eastAsia="Arial" w:cs="Arial"/>
          <w:color w:val="000000"/>
          <w:szCs w:val="24"/>
        </w:rPr>
        <w:t>en la observación de</w:t>
      </w:r>
      <w:r w:rsidRPr="00166DBD">
        <w:rPr>
          <w:rFonts w:eastAsia="Arial" w:cs="Arial"/>
          <w:color w:val="000000"/>
          <w:szCs w:val="24"/>
        </w:rPr>
        <w:t xml:space="preserve"> todas las etapas de los procesos de participación ciudadana. </w:t>
      </w:r>
    </w:p>
    <w:p w14:paraId="00A15309" w14:textId="77777777" w:rsidR="00E53A2D" w:rsidRDefault="00E53A2D" w:rsidP="00E53A2D">
      <w:pPr>
        <w:spacing w:after="0" w:line="276" w:lineRule="auto"/>
        <w:ind w:left="720"/>
        <w:rPr>
          <w:rFonts w:eastAsia="Arial" w:cs="Arial"/>
          <w:color w:val="000000"/>
          <w:szCs w:val="24"/>
        </w:rPr>
      </w:pPr>
    </w:p>
    <w:p w14:paraId="3049B0AE" w14:textId="3952C9F3" w:rsidR="002F4AF6" w:rsidRPr="00E53A2D" w:rsidRDefault="000E5274" w:rsidP="00E53A2D">
      <w:pPr>
        <w:numPr>
          <w:ilvl w:val="0"/>
          <w:numId w:val="2"/>
        </w:numPr>
        <w:spacing w:after="0" w:line="276" w:lineRule="auto"/>
        <w:rPr>
          <w:rFonts w:eastAsia="Arial" w:cs="Arial"/>
          <w:color w:val="000000"/>
          <w:szCs w:val="24"/>
        </w:rPr>
      </w:pPr>
      <w:r w:rsidRPr="00E53A2D">
        <w:rPr>
          <w:rFonts w:eastAsia="Arial" w:cs="Arial"/>
          <w:color w:val="000000"/>
          <w:szCs w:val="24"/>
        </w:rPr>
        <w:t xml:space="preserve">El artículo 149, numeral 1 de la LIPEEO </w:t>
      </w:r>
      <w:r w:rsidR="00D24600" w:rsidRPr="00E53A2D">
        <w:rPr>
          <w:rFonts w:eastAsia="Arial" w:cs="Arial"/>
          <w:color w:val="000000"/>
          <w:szCs w:val="24"/>
        </w:rPr>
        <w:t xml:space="preserve">estipula que la ciudadanía </w:t>
      </w:r>
      <w:r w:rsidR="00A43CF9" w:rsidRPr="00E53A2D">
        <w:rPr>
          <w:rFonts w:eastAsia="Arial" w:cs="Arial"/>
          <w:color w:val="000000"/>
          <w:szCs w:val="24"/>
        </w:rPr>
        <w:t>mexicana podrá participar, libre e individualmente o a través de la asociación a la que pertenezcan</w:t>
      </w:r>
      <w:r w:rsidR="00261D57" w:rsidRPr="00E53A2D">
        <w:rPr>
          <w:rFonts w:eastAsia="Arial" w:cs="Arial"/>
          <w:color w:val="000000"/>
          <w:szCs w:val="24"/>
        </w:rPr>
        <w:t>, como observador</w:t>
      </w:r>
      <w:r w:rsidR="00994C1E" w:rsidRPr="00E53A2D">
        <w:rPr>
          <w:rFonts w:eastAsia="Arial" w:cs="Arial"/>
          <w:color w:val="000000"/>
          <w:szCs w:val="24"/>
        </w:rPr>
        <w:t>a</w:t>
      </w:r>
      <w:r w:rsidR="00261D57" w:rsidRPr="00E53A2D">
        <w:rPr>
          <w:rFonts w:eastAsia="Arial" w:cs="Arial"/>
          <w:color w:val="000000"/>
          <w:szCs w:val="24"/>
        </w:rPr>
        <w:t xml:space="preserve"> de los actos de preparación y desarrollo</w:t>
      </w:r>
      <w:r w:rsidR="00F86EFE" w:rsidRPr="00E53A2D">
        <w:rPr>
          <w:rFonts w:eastAsia="Arial" w:cs="Arial"/>
          <w:color w:val="000000"/>
          <w:szCs w:val="24"/>
        </w:rPr>
        <w:t xml:space="preserve">, en este caso, del proceso de Revocación de Mandato. </w:t>
      </w:r>
    </w:p>
    <w:p w14:paraId="42DEF3F7" w14:textId="77777777" w:rsidR="004C1866" w:rsidRPr="00166DBD" w:rsidRDefault="004C1866" w:rsidP="004C1866">
      <w:pPr>
        <w:spacing w:after="0" w:line="276" w:lineRule="auto"/>
        <w:ind w:left="720"/>
        <w:rPr>
          <w:rFonts w:eastAsia="Arial" w:cs="Arial"/>
          <w:color w:val="000000"/>
          <w:szCs w:val="24"/>
        </w:rPr>
      </w:pPr>
    </w:p>
    <w:p w14:paraId="3A616E39" w14:textId="09261645" w:rsidR="00E53A2D" w:rsidRDefault="00A97216" w:rsidP="00E53A2D">
      <w:pPr>
        <w:numPr>
          <w:ilvl w:val="0"/>
          <w:numId w:val="2"/>
        </w:numPr>
        <w:spacing w:after="0" w:line="276" w:lineRule="auto"/>
        <w:rPr>
          <w:rFonts w:eastAsia="Arial" w:cs="Arial"/>
          <w:color w:val="000000"/>
          <w:szCs w:val="24"/>
        </w:rPr>
      </w:pPr>
      <w:r>
        <w:rPr>
          <w:rFonts w:eastAsia="Arial" w:cs="Arial"/>
          <w:color w:val="000000"/>
          <w:szCs w:val="24"/>
        </w:rPr>
        <w:t xml:space="preserve">El artículo 217, numeral 1, inciso h) de la LIPEEO establece que en los contenidos de la capacitación que se imparta al funcionariado de las mesas directivas de casilla debe preverse la explicación relativa a la presencia de las personas observadoras, así como los derechos y obligaciones inherentes a su actuación. </w:t>
      </w:r>
    </w:p>
    <w:p w14:paraId="74076EF4" w14:textId="77777777" w:rsidR="00E53A2D" w:rsidRDefault="00E53A2D" w:rsidP="00E53A2D">
      <w:pPr>
        <w:spacing w:after="0" w:line="276" w:lineRule="auto"/>
        <w:ind w:left="720"/>
        <w:rPr>
          <w:rFonts w:eastAsia="Arial" w:cs="Arial"/>
          <w:color w:val="000000"/>
          <w:szCs w:val="24"/>
        </w:rPr>
      </w:pPr>
    </w:p>
    <w:p w14:paraId="310103D7" w14:textId="2C8B13FA" w:rsidR="004C1866" w:rsidRPr="00E53A2D" w:rsidRDefault="004C1866" w:rsidP="00E53A2D">
      <w:pPr>
        <w:numPr>
          <w:ilvl w:val="0"/>
          <w:numId w:val="2"/>
        </w:numPr>
        <w:spacing w:after="0" w:line="276" w:lineRule="auto"/>
        <w:rPr>
          <w:rFonts w:eastAsia="Arial" w:cs="Arial"/>
          <w:color w:val="000000"/>
          <w:szCs w:val="24"/>
        </w:rPr>
      </w:pPr>
      <w:r w:rsidRPr="00E53A2D">
        <w:rPr>
          <w:rFonts w:eastAsia="Arial" w:cs="Arial"/>
          <w:color w:val="000000"/>
          <w:szCs w:val="24"/>
        </w:rPr>
        <w:t>Finalmente, el artículo 51 de la Ley de Revocación de Mandato para el Estado de Oaxaca</w:t>
      </w:r>
      <w:r w:rsidR="005A6E5C" w:rsidRPr="00E53A2D">
        <w:rPr>
          <w:rFonts w:eastAsia="Arial" w:cs="Arial"/>
          <w:color w:val="000000"/>
          <w:szCs w:val="24"/>
        </w:rPr>
        <w:t xml:space="preserve"> tutela el derecho de las personas ciudadanas</w:t>
      </w:r>
      <w:r w:rsidR="003B626A" w:rsidRPr="00E53A2D">
        <w:rPr>
          <w:rFonts w:eastAsia="Arial" w:cs="Arial"/>
          <w:color w:val="000000"/>
          <w:szCs w:val="24"/>
        </w:rPr>
        <w:t xml:space="preserve"> </w:t>
      </w:r>
      <w:r w:rsidR="005A6E5C" w:rsidRPr="00E53A2D">
        <w:rPr>
          <w:rFonts w:eastAsia="Arial" w:cs="Arial"/>
          <w:color w:val="000000"/>
          <w:szCs w:val="24"/>
        </w:rPr>
        <w:t xml:space="preserve">a mecanismos eficaces, claros y accesibles que garanticen su registro y participación en la observación </w:t>
      </w:r>
      <w:r w:rsidR="000C6400" w:rsidRPr="00E53A2D">
        <w:rPr>
          <w:rFonts w:eastAsia="Arial" w:cs="Arial"/>
          <w:color w:val="000000"/>
          <w:szCs w:val="24"/>
        </w:rPr>
        <w:t>y man</w:t>
      </w:r>
      <w:r w:rsidR="00FE0370" w:rsidRPr="00E53A2D">
        <w:rPr>
          <w:rFonts w:eastAsia="Arial" w:cs="Arial"/>
          <w:color w:val="000000"/>
          <w:szCs w:val="24"/>
        </w:rPr>
        <w:t>data</w:t>
      </w:r>
      <w:r w:rsidR="000C6400" w:rsidRPr="00E53A2D">
        <w:rPr>
          <w:rFonts w:eastAsia="Arial" w:cs="Arial"/>
          <w:color w:val="000000"/>
          <w:szCs w:val="24"/>
        </w:rPr>
        <w:t xml:space="preserve"> al IEEPCO garantizar este derecho </w:t>
      </w:r>
      <w:r w:rsidR="00C95BA9" w:rsidRPr="00E53A2D">
        <w:rPr>
          <w:rFonts w:eastAsia="Arial" w:cs="Arial"/>
          <w:color w:val="000000"/>
          <w:szCs w:val="24"/>
        </w:rPr>
        <w:t>en el marco del proceso de Revocación de Mandato.</w:t>
      </w:r>
      <w:r w:rsidR="005A6E5C" w:rsidRPr="00E53A2D">
        <w:rPr>
          <w:rFonts w:eastAsia="Arial" w:cs="Arial"/>
          <w:color w:val="000000"/>
          <w:szCs w:val="24"/>
        </w:rPr>
        <w:t xml:space="preserve"> </w:t>
      </w:r>
    </w:p>
    <w:p w14:paraId="70407AE4" w14:textId="77777777" w:rsidR="00CF030B" w:rsidRPr="00166DBD" w:rsidRDefault="00CF030B" w:rsidP="009D61F4">
      <w:pPr>
        <w:spacing w:after="0" w:line="276" w:lineRule="auto"/>
        <w:rPr>
          <w:rFonts w:eastAsia="Arial" w:cs="Arial"/>
          <w:color w:val="000000"/>
          <w:szCs w:val="24"/>
        </w:rPr>
      </w:pPr>
    </w:p>
    <w:p w14:paraId="355D86F0" w14:textId="20E1188F" w:rsidR="00737EC5" w:rsidRPr="00F74C7F" w:rsidRDefault="00994C1E" w:rsidP="00737EC5">
      <w:pPr>
        <w:spacing w:after="0" w:line="276" w:lineRule="auto"/>
        <w:rPr>
          <w:rFonts w:cs="Arial"/>
          <w:b/>
          <w:bCs/>
          <w:szCs w:val="24"/>
        </w:rPr>
      </w:pPr>
      <w:r>
        <w:rPr>
          <w:rFonts w:eastAsia="Arial" w:cs="Arial"/>
          <w:b/>
          <w:bCs/>
          <w:color w:val="000000"/>
          <w:szCs w:val="24"/>
        </w:rPr>
        <w:t>Tercero</w:t>
      </w:r>
      <w:r w:rsidR="00816608" w:rsidRPr="00166DBD">
        <w:rPr>
          <w:rFonts w:eastAsia="Arial" w:cs="Arial"/>
          <w:b/>
          <w:bCs/>
          <w:color w:val="000000"/>
          <w:szCs w:val="24"/>
        </w:rPr>
        <w:t xml:space="preserve">. De </w:t>
      </w:r>
      <w:r w:rsidR="005542D7">
        <w:rPr>
          <w:rFonts w:eastAsia="Arial" w:cs="Arial"/>
          <w:b/>
          <w:bCs/>
          <w:color w:val="000000"/>
          <w:szCs w:val="24"/>
        </w:rPr>
        <w:t>los derechos</w:t>
      </w:r>
      <w:r w:rsidR="00B768DC">
        <w:rPr>
          <w:rFonts w:eastAsia="Arial" w:cs="Arial"/>
          <w:b/>
          <w:bCs/>
          <w:color w:val="000000"/>
          <w:szCs w:val="24"/>
        </w:rPr>
        <w:t xml:space="preserve">, </w:t>
      </w:r>
      <w:r w:rsidR="005542D7">
        <w:rPr>
          <w:rFonts w:eastAsia="Arial" w:cs="Arial"/>
          <w:b/>
          <w:bCs/>
          <w:color w:val="000000"/>
          <w:szCs w:val="24"/>
        </w:rPr>
        <w:t>obligaciones</w:t>
      </w:r>
      <w:r w:rsidR="00816608" w:rsidRPr="00166DBD">
        <w:rPr>
          <w:rFonts w:eastAsia="Arial" w:cs="Arial"/>
          <w:b/>
          <w:bCs/>
          <w:color w:val="000000"/>
          <w:szCs w:val="24"/>
        </w:rPr>
        <w:t xml:space="preserve"> </w:t>
      </w:r>
      <w:r w:rsidR="00B768DC">
        <w:rPr>
          <w:rFonts w:eastAsia="Arial" w:cs="Arial"/>
          <w:b/>
          <w:bCs/>
          <w:color w:val="000000"/>
          <w:szCs w:val="24"/>
        </w:rPr>
        <w:t xml:space="preserve">y restricciones derivados del derecho a la observación </w:t>
      </w:r>
      <w:r w:rsidR="00737EC5" w:rsidRPr="00166DBD">
        <w:rPr>
          <w:rFonts w:cs="Arial"/>
          <w:b/>
          <w:bCs/>
          <w:szCs w:val="24"/>
        </w:rPr>
        <w:t xml:space="preserve">en el Proceso de Revocación de Mandato de la persona titular de la </w:t>
      </w:r>
      <w:r w:rsidR="00966114">
        <w:rPr>
          <w:rFonts w:cs="Arial"/>
          <w:b/>
          <w:bCs/>
          <w:szCs w:val="24"/>
        </w:rPr>
        <w:t>G</w:t>
      </w:r>
      <w:r w:rsidR="00737EC5" w:rsidRPr="00166DBD">
        <w:rPr>
          <w:rFonts w:cs="Arial"/>
          <w:b/>
          <w:bCs/>
          <w:szCs w:val="24"/>
        </w:rPr>
        <w:t>ubernatura del Estado de Oaxaca, para el periodo constitucional 2022-2028.</w:t>
      </w:r>
    </w:p>
    <w:p w14:paraId="16DEF7DC" w14:textId="77777777" w:rsidR="001C707F" w:rsidRPr="00F74C7F" w:rsidRDefault="001C707F" w:rsidP="00F74C7F">
      <w:pPr>
        <w:spacing w:after="0" w:line="276" w:lineRule="auto"/>
        <w:rPr>
          <w:rFonts w:eastAsia="Arial" w:cs="Arial"/>
          <w:b/>
          <w:bCs/>
          <w:color w:val="000000"/>
          <w:szCs w:val="24"/>
          <w:highlight w:val="yellow"/>
        </w:rPr>
      </w:pPr>
    </w:p>
    <w:p w14:paraId="2842DB0F" w14:textId="3F901F47" w:rsidR="00665CE1" w:rsidRPr="00CE39F9" w:rsidRDefault="00994C1E" w:rsidP="0093700C">
      <w:pPr>
        <w:numPr>
          <w:ilvl w:val="0"/>
          <w:numId w:val="2"/>
        </w:numPr>
        <w:spacing w:after="0" w:line="276" w:lineRule="auto"/>
        <w:rPr>
          <w:rFonts w:eastAsia="Arial" w:cs="Arial"/>
          <w:color w:val="000000"/>
          <w:szCs w:val="24"/>
        </w:rPr>
      </w:pPr>
      <w:r>
        <w:rPr>
          <w:rFonts w:cs="Arial"/>
          <w:color w:val="000000" w:themeColor="text1"/>
        </w:rPr>
        <w:t xml:space="preserve">En </w:t>
      </w:r>
      <w:r w:rsidR="00E17537" w:rsidRPr="00E30E4D">
        <w:rPr>
          <w:rFonts w:cs="Arial"/>
          <w:color w:val="000000" w:themeColor="text1"/>
        </w:rPr>
        <w:t>cumplimiento</w:t>
      </w:r>
      <w:r>
        <w:rPr>
          <w:rFonts w:cs="Arial"/>
          <w:color w:val="000000" w:themeColor="text1"/>
        </w:rPr>
        <w:t xml:space="preserve"> a lo previsto en </w:t>
      </w:r>
      <w:r w:rsidRPr="00F47DDD">
        <w:rPr>
          <w:rFonts w:cs="Arial"/>
        </w:rPr>
        <w:t>la cláusula segunda, numeral 8 del</w:t>
      </w:r>
      <w:r>
        <w:rPr>
          <w:rFonts w:cs="Arial"/>
        </w:rPr>
        <w:t xml:space="preserve"> C</w:t>
      </w:r>
      <w:r w:rsidRPr="00406CEC">
        <w:rPr>
          <w:rFonts w:cs="Arial"/>
        </w:rPr>
        <w:t xml:space="preserve">onvenio </w:t>
      </w:r>
      <w:r>
        <w:rPr>
          <w:rFonts w:cs="Arial"/>
        </w:rPr>
        <w:t>G</w:t>
      </w:r>
      <w:r w:rsidRPr="00406CEC">
        <w:rPr>
          <w:rFonts w:cs="Arial"/>
        </w:rPr>
        <w:t xml:space="preserve">eneral de </w:t>
      </w:r>
      <w:r>
        <w:rPr>
          <w:rFonts w:cs="Arial"/>
        </w:rPr>
        <w:t>C</w:t>
      </w:r>
      <w:r w:rsidRPr="00406CEC">
        <w:rPr>
          <w:rFonts w:cs="Arial"/>
        </w:rPr>
        <w:t xml:space="preserve">oordinación y </w:t>
      </w:r>
      <w:r>
        <w:rPr>
          <w:rFonts w:cs="Arial"/>
        </w:rPr>
        <w:t>C</w:t>
      </w:r>
      <w:r w:rsidRPr="00406CEC">
        <w:rPr>
          <w:rFonts w:cs="Arial"/>
        </w:rPr>
        <w:t xml:space="preserve">olaboración </w:t>
      </w:r>
      <w:r>
        <w:rPr>
          <w:rFonts w:cs="Arial"/>
        </w:rPr>
        <w:t xml:space="preserve">INE-IEEPCO </w:t>
      </w:r>
      <w:r w:rsidR="0065529A" w:rsidRPr="00E30E4D">
        <w:rPr>
          <w:rFonts w:cs="Arial"/>
          <w:color w:val="000000" w:themeColor="text1"/>
        </w:rPr>
        <w:t>todo lo referente al ejercicio del derecho</w:t>
      </w:r>
      <w:r w:rsidR="0065529A">
        <w:rPr>
          <w:rFonts w:cs="Arial"/>
          <w:color w:val="000000" w:themeColor="text1"/>
        </w:rPr>
        <w:t xml:space="preserve"> de </w:t>
      </w:r>
      <w:r w:rsidR="0065529A" w:rsidRPr="008313A0">
        <w:rPr>
          <w:rFonts w:cs="Arial"/>
          <w:color w:val="000000" w:themeColor="text1"/>
        </w:rPr>
        <w:t>observación en el proceso</w:t>
      </w:r>
      <w:r w:rsidR="0065529A">
        <w:rPr>
          <w:rFonts w:cs="Arial"/>
          <w:color w:val="000000" w:themeColor="text1"/>
        </w:rPr>
        <w:t xml:space="preserve"> de </w:t>
      </w:r>
      <w:r w:rsidR="006E66C6">
        <w:rPr>
          <w:rFonts w:cs="Arial"/>
          <w:color w:val="000000" w:themeColor="text1"/>
        </w:rPr>
        <w:t>R</w:t>
      </w:r>
      <w:r w:rsidR="0065529A">
        <w:rPr>
          <w:rFonts w:cs="Arial"/>
          <w:color w:val="000000" w:themeColor="text1"/>
        </w:rPr>
        <w:t xml:space="preserve">evocación </w:t>
      </w:r>
      <w:r w:rsidR="0065529A" w:rsidRPr="00E30E4D">
        <w:rPr>
          <w:rFonts w:cs="Arial"/>
          <w:color w:val="000000" w:themeColor="text1"/>
        </w:rPr>
        <w:t xml:space="preserve">de </w:t>
      </w:r>
      <w:r w:rsidR="006E66C6">
        <w:rPr>
          <w:rFonts w:cs="Arial"/>
          <w:color w:val="000000" w:themeColor="text1"/>
        </w:rPr>
        <w:t>M</w:t>
      </w:r>
      <w:r w:rsidR="0065529A" w:rsidRPr="00E30E4D">
        <w:rPr>
          <w:rFonts w:cs="Arial"/>
          <w:color w:val="000000" w:themeColor="text1"/>
        </w:rPr>
        <w:t xml:space="preserve">andato, será de conformidad con la </w:t>
      </w:r>
      <w:r>
        <w:rPr>
          <w:rFonts w:cs="Arial"/>
          <w:color w:val="000000" w:themeColor="text1"/>
        </w:rPr>
        <w:t xml:space="preserve">LGIPE; </w:t>
      </w:r>
      <w:r w:rsidRPr="008313A0">
        <w:rPr>
          <w:rFonts w:cs="Arial"/>
          <w:color w:val="000000" w:themeColor="text1"/>
        </w:rPr>
        <w:t xml:space="preserve">así como </w:t>
      </w:r>
      <w:r w:rsidR="00CF2D42" w:rsidRPr="008313A0">
        <w:rPr>
          <w:rFonts w:cs="Arial"/>
          <w:color w:val="000000" w:themeColor="text1"/>
        </w:rPr>
        <w:t xml:space="preserve">el RE </w:t>
      </w:r>
      <w:r w:rsidR="00665CE1" w:rsidRPr="008313A0">
        <w:rPr>
          <w:rFonts w:cs="Arial"/>
          <w:color w:val="000000" w:themeColor="text1"/>
        </w:rPr>
        <w:t>en</w:t>
      </w:r>
      <w:r w:rsidR="00665CE1">
        <w:rPr>
          <w:rFonts w:cs="Arial"/>
          <w:color w:val="000000" w:themeColor="text1"/>
        </w:rPr>
        <w:t xml:space="preserve"> materia de observación electoral</w:t>
      </w:r>
      <w:r w:rsidR="00CE39F9">
        <w:rPr>
          <w:rFonts w:cs="Arial"/>
          <w:color w:val="000000" w:themeColor="text1"/>
        </w:rPr>
        <w:t xml:space="preserve"> al ser el </w:t>
      </w:r>
      <w:r w:rsidR="00665CE1" w:rsidRPr="00CE39F9">
        <w:rPr>
          <w:rFonts w:eastAsia="Arial" w:cs="Arial"/>
          <w:color w:val="000000"/>
          <w:szCs w:val="24"/>
        </w:rPr>
        <w:t xml:space="preserve">documento rector </w:t>
      </w:r>
      <w:r w:rsidR="0097725F">
        <w:rPr>
          <w:rFonts w:eastAsia="Arial" w:cs="Arial"/>
          <w:color w:val="000000"/>
          <w:szCs w:val="24"/>
        </w:rPr>
        <w:t xml:space="preserve">vigente </w:t>
      </w:r>
      <w:r w:rsidR="00665CE1" w:rsidRPr="00CE39F9">
        <w:rPr>
          <w:rFonts w:eastAsia="Arial" w:cs="Arial"/>
          <w:color w:val="000000"/>
          <w:szCs w:val="24"/>
        </w:rPr>
        <w:t>que incorpora todas las disposiciones aplicables a los Procesos Electorales Locales, en especial aquellos aspectos generales de las normas que rigen el desarrollo de cualquier tipo de Proceso Electoral</w:t>
      </w:r>
      <w:r w:rsidR="00C058C0">
        <w:rPr>
          <w:rFonts w:eastAsia="Arial" w:cs="Arial"/>
          <w:color w:val="000000"/>
          <w:szCs w:val="24"/>
        </w:rPr>
        <w:t>.</w:t>
      </w:r>
      <w:r w:rsidR="00335438">
        <w:rPr>
          <w:rStyle w:val="Refdenotaalpie"/>
          <w:rFonts w:eastAsia="Arial" w:cs="Arial"/>
          <w:color w:val="000000"/>
          <w:szCs w:val="24"/>
        </w:rPr>
        <w:footnoteReference w:id="18"/>
      </w:r>
    </w:p>
    <w:p w14:paraId="58352A92" w14:textId="77777777" w:rsidR="00737EC5" w:rsidRPr="00E30E4D" w:rsidRDefault="00737EC5" w:rsidP="00E30E4D">
      <w:pPr>
        <w:spacing w:after="0" w:line="276" w:lineRule="auto"/>
        <w:rPr>
          <w:rFonts w:eastAsia="Arial" w:cs="Arial"/>
          <w:color w:val="000000"/>
          <w:szCs w:val="24"/>
        </w:rPr>
      </w:pPr>
    </w:p>
    <w:p w14:paraId="4A893C14" w14:textId="36A638B4" w:rsidR="00816608" w:rsidRPr="00E30E4D" w:rsidRDefault="0065529A" w:rsidP="0093700C">
      <w:pPr>
        <w:numPr>
          <w:ilvl w:val="0"/>
          <w:numId w:val="2"/>
        </w:numPr>
        <w:spacing w:after="0" w:line="276" w:lineRule="auto"/>
        <w:rPr>
          <w:rFonts w:eastAsia="Arial" w:cs="Arial"/>
          <w:color w:val="000000"/>
          <w:szCs w:val="24"/>
        </w:rPr>
      </w:pPr>
      <w:r w:rsidRPr="00E30E4D">
        <w:rPr>
          <w:rFonts w:eastAsia="Arial" w:cs="Arial"/>
          <w:color w:val="000000"/>
          <w:szCs w:val="24"/>
        </w:rPr>
        <w:lastRenderedPageBreak/>
        <w:t xml:space="preserve">En ese sentido, </w:t>
      </w:r>
      <w:r w:rsidR="00257F4A" w:rsidRPr="00E30E4D">
        <w:rPr>
          <w:rFonts w:eastAsia="Arial" w:cs="Arial"/>
          <w:color w:val="000000"/>
          <w:szCs w:val="24"/>
        </w:rPr>
        <w:t xml:space="preserve">el artículo </w:t>
      </w:r>
      <w:r w:rsidR="008B7E32" w:rsidRPr="00E30E4D">
        <w:rPr>
          <w:rFonts w:eastAsia="Arial" w:cs="Arial"/>
          <w:color w:val="000000"/>
          <w:szCs w:val="24"/>
        </w:rPr>
        <w:t>217</w:t>
      </w:r>
      <w:r w:rsidR="00F36EAD" w:rsidRPr="00E30E4D">
        <w:rPr>
          <w:rFonts w:eastAsia="Arial" w:cs="Arial"/>
          <w:color w:val="000000"/>
          <w:szCs w:val="24"/>
        </w:rPr>
        <w:t xml:space="preserve">, numeral 1, incisos a), b) y c) </w:t>
      </w:r>
      <w:r w:rsidR="008B7E32" w:rsidRPr="00E30E4D">
        <w:rPr>
          <w:rFonts w:eastAsia="Arial" w:cs="Arial"/>
          <w:color w:val="000000"/>
          <w:szCs w:val="24"/>
        </w:rPr>
        <w:t xml:space="preserve">de la </w:t>
      </w:r>
      <w:r w:rsidR="008E73A6">
        <w:rPr>
          <w:rFonts w:eastAsia="Arial" w:cs="Arial"/>
          <w:color w:val="000000"/>
          <w:szCs w:val="24"/>
        </w:rPr>
        <w:t xml:space="preserve">LGIPE </w:t>
      </w:r>
      <w:r w:rsidRPr="00E30E4D">
        <w:rPr>
          <w:rFonts w:eastAsia="Arial" w:cs="Arial"/>
          <w:color w:val="000000"/>
          <w:szCs w:val="24"/>
        </w:rPr>
        <w:t xml:space="preserve">establece </w:t>
      </w:r>
      <w:r w:rsidR="00BC34F4" w:rsidRPr="00E30E4D">
        <w:rPr>
          <w:rFonts w:eastAsia="Arial" w:cs="Arial"/>
          <w:color w:val="000000"/>
          <w:szCs w:val="24"/>
        </w:rPr>
        <w:t xml:space="preserve">que </w:t>
      </w:r>
      <w:r w:rsidR="00475CB8" w:rsidRPr="00E30E4D">
        <w:rPr>
          <w:rFonts w:eastAsia="Arial" w:cs="Arial"/>
          <w:color w:val="000000"/>
          <w:szCs w:val="24"/>
        </w:rPr>
        <w:t>la ciudadanía</w:t>
      </w:r>
      <w:r w:rsidR="00BC34F4" w:rsidRPr="00E30E4D">
        <w:rPr>
          <w:rFonts w:eastAsia="Arial" w:cs="Arial"/>
          <w:color w:val="000000"/>
          <w:szCs w:val="24"/>
        </w:rPr>
        <w:t xml:space="preserve"> para </w:t>
      </w:r>
      <w:r w:rsidR="00475CB8" w:rsidRPr="00E30E4D">
        <w:rPr>
          <w:rFonts w:eastAsia="Arial" w:cs="Arial"/>
          <w:color w:val="000000"/>
          <w:szCs w:val="24"/>
        </w:rPr>
        <w:t>ejer</w:t>
      </w:r>
      <w:r w:rsidR="00BC34F4" w:rsidRPr="00E30E4D">
        <w:rPr>
          <w:rFonts w:eastAsia="Arial" w:cs="Arial"/>
          <w:color w:val="000000"/>
          <w:szCs w:val="24"/>
        </w:rPr>
        <w:t>cer</w:t>
      </w:r>
      <w:r w:rsidR="00475CB8" w:rsidRPr="00E30E4D">
        <w:rPr>
          <w:rFonts w:eastAsia="Arial" w:cs="Arial"/>
          <w:color w:val="000000"/>
          <w:szCs w:val="24"/>
        </w:rPr>
        <w:t xml:space="preserve"> su derecho a la observación electoral, deberá</w:t>
      </w:r>
      <w:r w:rsidR="000509E0" w:rsidRPr="00E30E4D">
        <w:rPr>
          <w:rFonts w:eastAsia="Arial" w:cs="Arial"/>
          <w:color w:val="000000"/>
          <w:szCs w:val="24"/>
        </w:rPr>
        <w:t xml:space="preserve"> sujetarse</w:t>
      </w:r>
      <w:r w:rsidR="006D5309" w:rsidRPr="00E30E4D">
        <w:rPr>
          <w:rFonts w:eastAsia="Arial" w:cs="Arial"/>
          <w:color w:val="000000"/>
          <w:szCs w:val="24"/>
        </w:rPr>
        <w:t xml:space="preserve"> a las siguientes bases: </w:t>
      </w:r>
    </w:p>
    <w:p w14:paraId="0857B7AE" w14:textId="77777777" w:rsidR="009322E7" w:rsidRDefault="009322E7" w:rsidP="009322E7">
      <w:pPr>
        <w:spacing w:after="0" w:line="276" w:lineRule="auto"/>
        <w:ind w:left="720"/>
        <w:rPr>
          <w:rFonts w:eastAsia="Arial" w:cs="Arial"/>
          <w:color w:val="000000"/>
          <w:szCs w:val="24"/>
          <w:highlight w:val="yellow"/>
        </w:rPr>
      </w:pPr>
    </w:p>
    <w:p w14:paraId="0EDFDD82" w14:textId="21DA2011" w:rsidR="009322E7" w:rsidRDefault="009322E7" w:rsidP="009322E7">
      <w:pPr>
        <w:pStyle w:val="Prrafodelista"/>
        <w:numPr>
          <w:ilvl w:val="0"/>
          <w:numId w:val="6"/>
        </w:numPr>
        <w:spacing w:after="0" w:line="276" w:lineRule="auto"/>
        <w:rPr>
          <w:rFonts w:eastAsia="Arial" w:cs="Arial"/>
          <w:color w:val="000000"/>
          <w:szCs w:val="24"/>
        </w:rPr>
      </w:pPr>
      <w:r w:rsidRPr="009322E7">
        <w:rPr>
          <w:rFonts w:eastAsia="Arial" w:cs="Arial"/>
          <w:color w:val="000000"/>
          <w:szCs w:val="24"/>
        </w:rPr>
        <w:t>Podrán participar sólo cuando hayan obtenido oportunamente su acreditación ante la autoridad electoral</w:t>
      </w:r>
      <w:r w:rsidR="00994C1E">
        <w:rPr>
          <w:rFonts w:eastAsia="Arial" w:cs="Arial"/>
          <w:color w:val="000000"/>
          <w:szCs w:val="24"/>
        </w:rPr>
        <w:t>.</w:t>
      </w:r>
      <w:r w:rsidRPr="009322E7">
        <w:rPr>
          <w:rFonts w:eastAsia="Arial" w:cs="Arial"/>
          <w:color w:val="000000"/>
          <w:szCs w:val="24"/>
        </w:rPr>
        <w:t xml:space="preserve"> </w:t>
      </w:r>
    </w:p>
    <w:p w14:paraId="3E39DB10" w14:textId="35146B7D" w:rsidR="009322E7" w:rsidRPr="007C1099" w:rsidRDefault="009322E7" w:rsidP="009322E7">
      <w:pPr>
        <w:pStyle w:val="Prrafodelista"/>
        <w:numPr>
          <w:ilvl w:val="0"/>
          <w:numId w:val="6"/>
        </w:numPr>
        <w:spacing w:after="0" w:line="276" w:lineRule="auto"/>
        <w:rPr>
          <w:rFonts w:eastAsia="Arial" w:cs="Arial"/>
          <w:color w:val="000000"/>
          <w:szCs w:val="24"/>
        </w:rPr>
      </w:pPr>
      <w:r w:rsidRPr="009322E7">
        <w:rPr>
          <w:rFonts w:eastAsia="Arial" w:cs="Arial"/>
          <w:color w:val="000000"/>
          <w:szCs w:val="24"/>
        </w:rPr>
        <w:t>La ciudadanía que pretenda actuar como observadora deberá señalar en el escrito de solicitud los datos de identificación personal anexando fotocopia de su credencial para votar, y la manifestación expresa de que se conducirá conforme a los principios de imparcialidad, objetividad</w:t>
      </w:r>
      <w:r w:rsidRPr="007C1099">
        <w:rPr>
          <w:rFonts w:eastAsia="Arial" w:cs="Arial"/>
          <w:color w:val="000000"/>
          <w:szCs w:val="24"/>
        </w:rPr>
        <w:t>, certeza y legalidad y sin vínculos a partido u organización política alguna</w:t>
      </w:r>
      <w:r w:rsidR="00994C1E">
        <w:rPr>
          <w:rFonts w:eastAsia="Arial" w:cs="Arial"/>
          <w:color w:val="000000"/>
          <w:szCs w:val="24"/>
        </w:rPr>
        <w:t>.</w:t>
      </w:r>
    </w:p>
    <w:p w14:paraId="2843E52F" w14:textId="13DA19BD" w:rsidR="009322E7" w:rsidRPr="007C1099" w:rsidRDefault="009322E7" w:rsidP="009322E7">
      <w:pPr>
        <w:pStyle w:val="Prrafodelista"/>
        <w:numPr>
          <w:ilvl w:val="0"/>
          <w:numId w:val="6"/>
        </w:numPr>
        <w:spacing w:after="0" w:line="276" w:lineRule="auto"/>
        <w:rPr>
          <w:rFonts w:eastAsia="Arial" w:cs="Arial"/>
          <w:color w:val="000000"/>
          <w:szCs w:val="24"/>
        </w:rPr>
      </w:pPr>
      <w:r w:rsidRPr="007C1099">
        <w:rPr>
          <w:rFonts w:eastAsia="Arial" w:cs="Arial"/>
          <w:color w:val="000000"/>
          <w:szCs w:val="24"/>
        </w:rPr>
        <w:t xml:space="preserve">La solicitud de registro para participar como </w:t>
      </w:r>
      <w:r w:rsidR="00AA4F20">
        <w:rPr>
          <w:rFonts w:eastAsia="Arial" w:cs="Arial"/>
          <w:color w:val="000000"/>
          <w:szCs w:val="24"/>
        </w:rPr>
        <w:t xml:space="preserve">persona </w:t>
      </w:r>
      <w:r w:rsidRPr="007C1099">
        <w:rPr>
          <w:rFonts w:eastAsia="Arial" w:cs="Arial"/>
          <w:color w:val="000000"/>
          <w:szCs w:val="24"/>
        </w:rPr>
        <w:t>observador</w:t>
      </w:r>
      <w:r w:rsidR="00AA4F20">
        <w:rPr>
          <w:rFonts w:eastAsia="Arial" w:cs="Arial"/>
          <w:color w:val="000000"/>
          <w:szCs w:val="24"/>
        </w:rPr>
        <w:t>a</w:t>
      </w:r>
      <w:r w:rsidRPr="007C1099">
        <w:rPr>
          <w:rFonts w:eastAsia="Arial" w:cs="Arial"/>
          <w:color w:val="000000"/>
          <w:szCs w:val="24"/>
        </w:rPr>
        <w:t xml:space="preserve"> electoral, podrá presentarse </w:t>
      </w:r>
      <w:r w:rsidR="00AA4F20">
        <w:rPr>
          <w:rFonts w:eastAsia="Arial" w:cs="Arial"/>
          <w:color w:val="000000"/>
          <w:szCs w:val="24"/>
        </w:rPr>
        <w:t>de</w:t>
      </w:r>
      <w:r w:rsidRPr="007C1099">
        <w:rPr>
          <w:rFonts w:eastAsia="Arial" w:cs="Arial"/>
          <w:color w:val="000000"/>
          <w:szCs w:val="24"/>
        </w:rPr>
        <w:t xml:space="preserve"> forma </w:t>
      </w:r>
      <w:r w:rsidR="00AA4F20">
        <w:rPr>
          <w:rFonts w:eastAsia="Arial" w:cs="Arial"/>
          <w:color w:val="000000"/>
          <w:szCs w:val="24"/>
        </w:rPr>
        <w:t xml:space="preserve">individual </w:t>
      </w:r>
      <w:r w:rsidRPr="007C1099">
        <w:rPr>
          <w:rFonts w:eastAsia="Arial" w:cs="Arial"/>
          <w:color w:val="000000"/>
          <w:szCs w:val="24"/>
        </w:rPr>
        <w:t>o a través de la organización a la que pertenezcan.</w:t>
      </w:r>
    </w:p>
    <w:p w14:paraId="4E816E4F" w14:textId="097484EC" w:rsidR="006D5309" w:rsidRPr="007C1099" w:rsidRDefault="009322E7" w:rsidP="009322E7">
      <w:pPr>
        <w:pStyle w:val="Prrafodelista"/>
        <w:numPr>
          <w:ilvl w:val="0"/>
          <w:numId w:val="6"/>
        </w:numPr>
        <w:spacing w:after="0" w:line="276" w:lineRule="auto"/>
        <w:rPr>
          <w:rFonts w:eastAsia="Arial" w:cs="Arial"/>
          <w:color w:val="000000"/>
          <w:szCs w:val="24"/>
        </w:rPr>
      </w:pPr>
      <w:r w:rsidRPr="007C1099">
        <w:rPr>
          <w:rFonts w:eastAsia="Arial" w:cs="Arial"/>
          <w:color w:val="000000"/>
          <w:szCs w:val="24"/>
        </w:rPr>
        <w:t xml:space="preserve">El Consejo General y los Organismos Públicos Locales garantizarán este derecho y resolverán cualquier planteamiento que pudiera presentarse por parte de </w:t>
      </w:r>
      <w:r w:rsidR="00994C1E">
        <w:rPr>
          <w:rFonts w:eastAsia="Arial" w:cs="Arial"/>
          <w:color w:val="000000"/>
          <w:szCs w:val="24"/>
        </w:rPr>
        <w:t xml:space="preserve">la </w:t>
      </w:r>
      <w:r w:rsidRPr="007C1099">
        <w:rPr>
          <w:rFonts w:eastAsia="Arial" w:cs="Arial"/>
          <w:color w:val="000000"/>
          <w:szCs w:val="24"/>
        </w:rPr>
        <w:t>ciudadan</w:t>
      </w:r>
      <w:r w:rsidR="00994C1E">
        <w:rPr>
          <w:rFonts w:eastAsia="Arial" w:cs="Arial"/>
          <w:color w:val="000000"/>
          <w:szCs w:val="24"/>
        </w:rPr>
        <w:t>ía en lo individual</w:t>
      </w:r>
      <w:r w:rsidRPr="007C1099">
        <w:rPr>
          <w:rFonts w:eastAsia="Arial" w:cs="Arial"/>
          <w:color w:val="000000"/>
          <w:szCs w:val="24"/>
        </w:rPr>
        <w:t xml:space="preserve"> o </w:t>
      </w:r>
      <w:r w:rsidR="001D4147" w:rsidRPr="00E909A9">
        <w:rPr>
          <w:rFonts w:eastAsia="Arial" w:cs="Arial"/>
          <w:color w:val="000000"/>
          <w:szCs w:val="24"/>
        </w:rPr>
        <w:t>de</w:t>
      </w:r>
      <w:r w:rsidR="001D4147">
        <w:rPr>
          <w:rFonts w:eastAsia="Arial" w:cs="Arial"/>
          <w:color w:val="000000"/>
          <w:szCs w:val="24"/>
        </w:rPr>
        <w:t xml:space="preserve"> </w:t>
      </w:r>
      <w:r w:rsidRPr="007C1099">
        <w:rPr>
          <w:rFonts w:eastAsia="Arial" w:cs="Arial"/>
          <w:color w:val="000000"/>
          <w:szCs w:val="24"/>
        </w:rPr>
        <w:t>las organizaciones interesadas</w:t>
      </w:r>
      <w:r w:rsidR="00994C1E">
        <w:rPr>
          <w:rFonts w:eastAsia="Arial" w:cs="Arial"/>
          <w:color w:val="000000"/>
          <w:szCs w:val="24"/>
        </w:rPr>
        <w:t>.</w:t>
      </w:r>
    </w:p>
    <w:p w14:paraId="768792AE" w14:textId="77777777" w:rsidR="009322E7" w:rsidRPr="007C1099" w:rsidRDefault="009322E7" w:rsidP="009322E7">
      <w:pPr>
        <w:spacing w:after="0" w:line="276" w:lineRule="auto"/>
        <w:ind w:left="720"/>
        <w:rPr>
          <w:rFonts w:eastAsia="Arial" w:cs="Arial"/>
          <w:color w:val="000000"/>
          <w:szCs w:val="24"/>
        </w:rPr>
      </w:pPr>
    </w:p>
    <w:p w14:paraId="226A9FB6" w14:textId="6E19BEEE" w:rsidR="00820F83" w:rsidRDefault="009322E7" w:rsidP="0093700C">
      <w:pPr>
        <w:numPr>
          <w:ilvl w:val="0"/>
          <w:numId w:val="2"/>
        </w:numPr>
        <w:spacing w:after="0" w:line="276" w:lineRule="auto"/>
        <w:rPr>
          <w:rFonts w:eastAsia="Arial" w:cs="Arial"/>
          <w:color w:val="000000"/>
          <w:szCs w:val="24"/>
        </w:rPr>
      </w:pPr>
      <w:r w:rsidRPr="007C1099">
        <w:rPr>
          <w:rFonts w:eastAsia="Arial" w:cs="Arial"/>
          <w:color w:val="000000"/>
          <w:szCs w:val="24"/>
        </w:rPr>
        <w:t>De conformidad con el artículo 217</w:t>
      </w:r>
      <w:r w:rsidR="00820F83" w:rsidRPr="007C1099">
        <w:rPr>
          <w:rFonts w:eastAsia="Arial" w:cs="Arial"/>
          <w:color w:val="000000"/>
          <w:szCs w:val="24"/>
        </w:rPr>
        <w:t xml:space="preserve">, numeral 1, inciso d) </w:t>
      </w:r>
      <w:r w:rsidRPr="007C1099">
        <w:rPr>
          <w:rFonts w:eastAsia="Arial" w:cs="Arial"/>
          <w:color w:val="000000"/>
          <w:szCs w:val="24"/>
        </w:rPr>
        <w:t xml:space="preserve">de la LGIPE y 149, numeral </w:t>
      </w:r>
      <w:r w:rsidR="00820F83" w:rsidRPr="007C1099">
        <w:rPr>
          <w:rFonts w:eastAsia="Arial" w:cs="Arial"/>
          <w:color w:val="000000"/>
          <w:szCs w:val="24"/>
        </w:rPr>
        <w:t>6</w:t>
      </w:r>
      <w:r w:rsidRPr="007C1099">
        <w:rPr>
          <w:rFonts w:eastAsia="Arial" w:cs="Arial"/>
          <w:color w:val="000000"/>
          <w:szCs w:val="24"/>
        </w:rPr>
        <w:t xml:space="preserve"> de la LIPEEO, para que la ciudadanía ejerza su derecho a la observación electoral deber</w:t>
      </w:r>
      <w:r w:rsidR="00820F83" w:rsidRPr="007C1099">
        <w:rPr>
          <w:rFonts w:eastAsia="Arial" w:cs="Arial"/>
          <w:color w:val="000000"/>
          <w:szCs w:val="24"/>
        </w:rPr>
        <w:t xml:space="preserve">á cumplir los siguientes requisitos: </w:t>
      </w:r>
    </w:p>
    <w:p w14:paraId="2F55AB75" w14:textId="77777777" w:rsidR="00E85B13" w:rsidRDefault="00E85B13" w:rsidP="00E85B13">
      <w:pPr>
        <w:spacing w:after="0" w:line="276" w:lineRule="auto"/>
        <w:ind w:left="720"/>
        <w:rPr>
          <w:rFonts w:eastAsia="Arial" w:cs="Arial"/>
          <w:color w:val="000000"/>
          <w:szCs w:val="24"/>
        </w:rPr>
      </w:pPr>
    </w:p>
    <w:p w14:paraId="5B20D499" w14:textId="77777777" w:rsidR="00B94EA1" w:rsidRDefault="007A6CA5" w:rsidP="00B94EA1">
      <w:pPr>
        <w:pStyle w:val="Prrafodelista"/>
        <w:numPr>
          <w:ilvl w:val="0"/>
          <w:numId w:val="31"/>
        </w:numPr>
        <w:spacing w:after="0" w:line="276" w:lineRule="auto"/>
        <w:rPr>
          <w:rFonts w:eastAsia="Arial" w:cs="Arial"/>
          <w:color w:val="000000"/>
          <w:szCs w:val="24"/>
        </w:rPr>
      </w:pPr>
      <w:r w:rsidRPr="007A6CA5">
        <w:rPr>
          <w:rFonts w:eastAsia="Arial" w:cs="Arial"/>
          <w:color w:val="000000"/>
          <w:szCs w:val="24"/>
        </w:rPr>
        <w:t xml:space="preserve">Ser persona ciudadana mexicana en pleno goce de sus derechos civiles y políticos; </w:t>
      </w:r>
    </w:p>
    <w:p w14:paraId="34454F2D" w14:textId="77777777" w:rsidR="00271462" w:rsidRDefault="007A6CA5" w:rsidP="00271462">
      <w:pPr>
        <w:pStyle w:val="Prrafodelista"/>
        <w:numPr>
          <w:ilvl w:val="0"/>
          <w:numId w:val="31"/>
        </w:numPr>
        <w:spacing w:after="0" w:line="276" w:lineRule="auto"/>
        <w:rPr>
          <w:rFonts w:eastAsia="Arial" w:cs="Arial"/>
          <w:color w:val="000000"/>
          <w:szCs w:val="24"/>
        </w:rPr>
      </w:pPr>
      <w:r w:rsidRPr="00B94EA1">
        <w:rPr>
          <w:rFonts w:eastAsia="Arial" w:cs="Arial"/>
          <w:color w:val="000000"/>
          <w:szCs w:val="24"/>
        </w:rPr>
        <w:t xml:space="preserve">No ser, ni haber sido integrante de dirigencias nacionales, estatales o municipales de organización o de partido político alguno en los tres años anteriores a la elección; </w:t>
      </w:r>
    </w:p>
    <w:p w14:paraId="6CBE8E3E" w14:textId="77777777" w:rsidR="00A33740" w:rsidRPr="00352A8B" w:rsidRDefault="007A6CA5" w:rsidP="00A33740">
      <w:pPr>
        <w:pStyle w:val="Prrafodelista"/>
        <w:numPr>
          <w:ilvl w:val="0"/>
          <w:numId w:val="31"/>
        </w:numPr>
        <w:spacing w:after="0" w:line="276" w:lineRule="auto"/>
        <w:rPr>
          <w:rFonts w:eastAsia="Arial" w:cs="Arial"/>
          <w:color w:val="000000"/>
          <w:szCs w:val="24"/>
        </w:rPr>
      </w:pPr>
      <w:r w:rsidRPr="00352A8B">
        <w:rPr>
          <w:rFonts w:eastAsia="Arial" w:cs="Arial"/>
          <w:color w:val="000000"/>
          <w:szCs w:val="24"/>
        </w:rPr>
        <w:t xml:space="preserve">No ser, ni haber sido persona candidata a puesto de elección popular en los tres años anteriores a la elección, y </w:t>
      </w:r>
    </w:p>
    <w:p w14:paraId="59087B99" w14:textId="54A30B9C" w:rsidR="007A6CA5" w:rsidRPr="008313A0" w:rsidRDefault="00145418" w:rsidP="00352A8B">
      <w:pPr>
        <w:pStyle w:val="Prrafodelista"/>
        <w:numPr>
          <w:ilvl w:val="0"/>
          <w:numId w:val="31"/>
        </w:numPr>
        <w:rPr>
          <w:rFonts w:eastAsia="Arial" w:cs="Arial"/>
          <w:szCs w:val="24"/>
        </w:rPr>
      </w:pPr>
      <w:r w:rsidRPr="008313A0">
        <w:rPr>
          <w:rFonts w:eastAsia="Arial" w:cs="Arial"/>
          <w:szCs w:val="24"/>
        </w:rPr>
        <w:t xml:space="preserve">Asistir a los cursos de capacitación, preparación o información que impartan el INE y los Organismos Públicos Locales o las propias organizaciones a las que pertenezcan </w:t>
      </w:r>
      <w:r w:rsidR="00DE5749">
        <w:rPr>
          <w:rFonts w:eastAsia="Arial" w:cs="Arial"/>
          <w:szCs w:val="24"/>
        </w:rPr>
        <w:t>las personas</w:t>
      </w:r>
      <w:r w:rsidR="00DE5749" w:rsidRPr="008313A0">
        <w:rPr>
          <w:rFonts w:eastAsia="Arial" w:cs="Arial"/>
          <w:szCs w:val="24"/>
        </w:rPr>
        <w:t xml:space="preserve"> </w:t>
      </w:r>
      <w:r w:rsidRPr="008313A0">
        <w:rPr>
          <w:rFonts w:eastAsia="Arial" w:cs="Arial"/>
          <w:szCs w:val="24"/>
        </w:rPr>
        <w:t>observador</w:t>
      </w:r>
      <w:r w:rsidR="00DE5749">
        <w:rPr>
          <w:rFonts w:eastAsia="Arial" w:cs="Arial"/>
          <w:szCs w:val="24"/>
        </w:rPr>
        <w:t>a</w:t>
      </w:r>
      <w:r w:rsidRPr="008313A0">
        <w:rPr>
          <w:rFonts w:eastAsia="Arial" w:cs="Arial"/>
          <w:szCs w:val="24"/>
        </w:rPr>
        <w:t>s bajo los lineamientos y contenidos que dicten las autoridades competentes, las que podrán supervisar dichos cursos. La falta de supervisión no imputable a la organización respectiva no será causa para que se niegue la acreditación.</w:t>
      </w:r>
    </w:p>
    <w:p w14:paraId="52F4F4CE" w14:textId="77777777" w:rsidR="00352A8B" w:rsidRPr="00352A8B" w:rsidRDefault="00352A8B" w:rsidP="00352A8B">
      <w:pPr>
        <w:pStyle w:val="Prrafodelista"/>
        <w:ind w:left="1440"/>
        <w:rPr>
          <w:rFonts w:eastAsia="Arial" w:cs="Arial"/>
          <w:color w:val="FF0000"/>
          <w:szCs w:val="24"/>
          <w:highlight w:val="yellow"/>
        </w:rPr>
      </w:pPr>
    </w:p>
    <w:p w14:paraId="1A606E83" w14:textId="77777777" w:rsidR="00352A8B" w:rsidRPr="00D208F7" w:rsidDel="00EF5E72" w:rsidRDefault="00352A8B" w:rsidP="00352A8B">
      <w:pPr>
        <w:numPr>
          <w:ilvl w:val="0"/>
          <w:numId w:val="2"/>
        </w:numPr>
        <w:spacing w:after="0" w:line="276" w:lineRule="auto"/>
        <w:rPr>
          <w:rFonts w:eastAsia="Arial" w:cs="Arial"/>
        </w:rPr>
      </w:pPr>
      <w:r w:rsidRPr="7A35F80D">
        <w:rPr>
          <w:rFonts w:eastAsia="Arial" w:cs="Arial"/>
        </w:rPr>
        <w:t xml:space="preserve">Asimismo, de conformidad con lo resuelto en la sentencia dictada por la Sala Superior del Tribunal Electoral del Poder Judicial de la Federación en el </w:t>
      </w:r>
      <w:r w:rsidRPr="7A35F80D">
        <w:rPr>
          <w:rFonts w:eastAsia="Arial" w:cs="Arial"/>
        </w:rPr>
        <w:lastRenderedPageBreak/>
        <w:t xml:space="preserve">expediente SUP-RAP-4/2023 y acumulados, es requisito para ejercer el derecho a la observación electoral en el proceso de Revocación de Mandato: </w:t>
      </w:r>
    </w:p>
    <w:p w14:paraId="007C4BBF" w14:textId="77777777" w:rsidR="00352A8B" w:rsidRPr="00D208F7" w:rsidDel="00EF5E72" w:rsidRDefault="00352A8B" w:rsidP="00352A8B">
      <w:pPr>
        <w:pStyle w:val="Prrafodelista"/>
        <w:spacing w:after="0" w:line="276" w:lineRule="auto"/>
        <w:rPr>
          <w:rFonts w:eastAsia="Arial" w:cs="Arial"/>
        </w:rPr>
      </w:pPr>
    </w:p>
    <w:p w14:paraId="3B727BAF" w14:textId="77777777" w:rsidR="00352A8B" w:rsidRPr="00AE4C09" w:rsidDel="00EF5E72" w:rsidRDefault="00352A8B" w:rsidP="00AE4C09">
      <w:pPr>
        <w:pStyle w:val="Prrafodelista"/>
        <w:numPr>
          <w:ilvl w:val="0"/>
          <w:numId w:val="37"/>
        </w:numPr>
        <w:spacing w:after="0" w:line="276" w:lineRule="auto"/>
        <w:rPr>
          <w:rFonts w:eastAsia="Arial" w:cs="Arial"/>
        </w:rPr>
      </w:pPr>
      <w:r w:rsidRPr="00AE4C09">
        <w:rPr>
          <w:rFonts w:eastAsia="Arial" w:cs="Arial"/>
        </w:rPr>
        <w:t>No ser persona servidora pública vinculada con programas sociales en el gobierno municipal, estatal o federal, ni ser persona operadora de programas sociales y actividades institucionales, cualquiera que sea su denominación; no ser persona servidora de la nación.</w:t>
      </w:r>
    </w:p>
    <w:p w14:paraId="360A077E" w14:textId="77777777" w:rsidR="00352A8B" w:rsidRDefault="00352A8B" w:rsidP="00AE4C09">
      <w:pPr>
        <w:spacing w:after="0" w:line="276" w:lineRule="auto"/>
        <w:ind w:left="720"/>
        <w:rPr>
          <w:rFonts w:eastAsia="Arial" w:cs="Arial"/>
          <w:color w:val="000000"/>
          <w:szCs w:val="24"/>
          <w:highlight w:val="yellow"/>
        </w:rPr>
      </w:pPr>
    </w:p>
    <w:p w14:paraId="6B782D4C" w14:textId="0FF10943" w:rsidR="007A6CA5" w:rsidRPr="004F4692" w:rsidRDefault="009366D2" w:rsidP="004F4692">
      <w:pPr>
        <w:numPr>
          <w:ilvl w:val="0"/>
          <w:numId w:val="2"/>
        </w:numPr>
        <w:spacing w:after="0" w:line="276" w:lineRule="auto"/>
        <w:rPr>
          <w:rFonts w:eastAsia="Arial" w:cs="Arial"/>
          <w:color w:val="000000"/>
          <w:szCs w:val="24"/>
        </w:rPr>
      </w:pPr>
      <w:r w:rsidRPr="004F4692">
        <w:rPr>
          <w:rFonts w:eastAsia="Arial" w:cs="Arial"/>
          <w:color w:val="000000"/>
          <w:szCs w:val="24"/>
        </w:rPr>
        <w:t xml:space="preserve">En </w:t>
      </w:r>
      <w:bookmarkStart w:id="2" w:name="_Hlk217055256"/>
      <w:r w:rsidRPr="004F4692">
        <w:rPr>
          <w:rFonts w:eastAsia="Arial" w:cs="Arial"/>
          <w:color w:val="000000"/>
          <w:szCs w:val="24"/>
        </w:rPr>
        <w:t xml:space="preserve">ese sentido, </w:t>
      </w:r>
      <w:r w:rsidR="004F4692">
        <w:rPr>
          <w:rFonts w:eastAsia="Arial" w:cs="Arial"/>
          <w:color w:val="000000"/>
          <w:szCs w:val="24"/>
        </w:rPr>
        <w:t xml:space="preserve">de una interpretación sistemática de la legislación aplicable a la observación electoral y retomando lo establecido con </w:t>
      </w:r>
      <w:r w:rsidR="00685EED" w:rsidRPr="004F4692">
        <w:rPr>
          <w:rFonts w:eastAsia="Arial" w:cs="Arial"/>
          <w:color w:val="000000"/>
          <w:szCs w:val="24"/>
        </w:rPr>
        <w:t>el artículo 1</w:t>
      </w:r>
      <w:r w:rsidR="0011149D" w:rsidRPr="004F4692">
        <w:rPr>
          <w:rFonts w:eastAsia="Arial" w:cs="Arial"/>
          <w:color w:val="000000"/>
          <w:szCs w:val="24"/>
        </w:rPr>
        <w:t xml:space="preserve">88 del RE, </w:t>
      </w:r>
      <w:r w:rsidR="004F4692">
        <w:rPr>
          <w:rFonts w:eastAsia="Arial" w:cs="Arial"/>
          <w:color w:val="000000"/>
          <w:szCs w:val="24"/>
        </w:rPr>
        <w:t xml:space="preserve">se concluye </w:t>
      </w:r>
      <w:r w:rsidR="000D20CA">
        <w:rPr>
          <w:rFonts w:eastAsia="Arial" w:cs="Arial"/>
          <w:color w:val="000000"/>
          <w:szCs w:val="24"/>
        </w:rPr>
        <w:t>que,</w:t>
      </w:r>
      <w:r w:rsidR="004F4692">
        <w:rPr>
          <w:rFonts w:eastAsia="Arial" w:cs="Arial"/>
          <w:color w:val="000000"/>
          <w:szCs w:val="24"/>
        </w:rPr>
        <w:t xml:space="preserve"> para la acreditación de la ciudadanía interesada en participar como observadora en el presente proceso de </w:t>
      </w:r>
      <w:r w:rsidR="00A5570C" w:rsidRPr="004F4692">
        <w:rPr>
          <w:rFonts w:eastAsia="Arial" w:cs="Arial"/>
          <w:color w:val="000000"/>
          <w:szCs w:val="24"/>
        </w:rPr>
        <w:t xml:space="preserve">Revocación de Mandato, </w:t>
      </w:r>
      <w:r w:rsidR="008E21E4" w:rsidRPr="004F4692">
        <w:rPr>
          <w:rFonts w:eastAsia="Arial" w:cs="Arial"/>
          <w:color w:val="000000"/>
          <w:szCs w:val="24"/>
        </w:rPr>
        <w:t xml:space="preserve">deberá </w:t>
      </w:r>
      <w:r w:rsidR="00D74AF1" w:rsidRPr="004F4692">
        <w:rPr>
          <w:rFonts w:eastAsia="Arial" w:cs="Arial"/>
          <w:color w:val="000000"/>
          <w:szCs w:val="24"/>
        </w:rPr>
        <w:t xml:space="preserve">cumplir </w:t>
      </w:r>
      <w:r w:rsidR="0035127E" w:rsidRPr="004F4692">
        <w:rPr>
          <w:rFonts w:eastAsia="Arial" w:cs="Arial"/>
          <w:color w:val="000000"/>
          <w:szCs w:val="24"/>
        </w:rPr>
        <w:t xml:space="preserve">con los requisitos </w:t>
      </w:r>
      <w:r w:rsidR="000D20CA">
        <w:rPr>
          <w:rFonts w:eastAsia="Arial" w:cs="Arial"/>
          <w:color w:val="000000"/>
          <w:szCs w:val="24"/>
        </w:rPr>
        <w:t xml:space="preserve">legales establecidos </w:t>
      </w:r>
      <w:r w:rsidR="0035127E" w:rsidRPr="004F4692">
        <w:rPr>
          <w:rFonts w:eastAsia="Arial" w:cs="Arial"/>
          <w:color w:val="000000"/>
          <w:szCs w:val="24"/>
        </w:rPr>
        <w:t xml:space="preserve">en el artículo 217 de la LGIPE y presentar los documentos que se citan a continuación. </w:t>
      </w:r>
    </w:p>
    <w:p w14:paraId="16006902" w14:textId="77777777" w:rsidR="00364E08" w:rsidRPr="00724A4D" w:rsidRDefault="00364E08" w:rsidP="00364E08">
      <w:pPr>
        <w:spacing w:after="0" w:line="276" w:lineRule="auto"/>
        <w:ind w:left="720"/>
        <w:rPr>
          <w:rFonts w:eastAsia="Arial" w:cs="Arial"/>
          <w:color w:val="000000"/>
          <w:szCs w:val="24"/>
        </w:rPr>
      </w:pPr>
    </w:p>
    <w:p w14:paraId="55B8BF49" w14:textId="6F5AE0F7" w:rsidR="0035127E" w:rsidRPr="002A6346" w:rsidRDefault="00197821" w:rsidP="002A6346">
      <w:pPr>
        <w:pStyle w:val="Prrafodelista"/>
        <w:numPr>
          <w:ilvl w:val="0"/>
          <w:numId w:val="32"/>
        </w:numPr>
        <w:spacing w:after="0" w:line="276" w:lineRule="auto"/>
        <w:rPr>
          <w:rFonts w:eastAsia="Arial" w:cs="Arial"/>
          <w:color w:val="000000"/>
          <w:szCs w:val="24"/>
        </w:rPr>
      </w:pPr>
      <w:r w:rsidRPr="00724A4D">
        <w:rPr>
          <w:rFonts w:eastAsia="Arial" w:cs="Arial"/>
          <w:color w:val="000000"/>
          <w:szCs w:val="24"/>
        </w:rPr>
        <w:t>Solicitud de acreditación</w:t>
      </w:r>
      <w:r w:rsidR="0099149E">
        <w:rPr>
          <w:rFonts w:eastAsia="Arial" w:cs="Arial"/>
          <w:color w:val="000000"/>
          <w:szCs w:val="24"/>
        </w:rPr>
        <w:t xml:space="preserve"> que contendrá </w:t>
      </w:r>
      <w:r w:rsidR="002A6346">
        <w:rPr>
          <w:rFonts w:eastAsia="Arial" w:cs="Arial"/>
          <w:color w:val="000000"/>
          <w:szCs w:val="24"/>
        </w:rPr>
        <w:t>la</w:t>
      </w:r>
      <w:r w:rsidR="0099149E" w:rsidRPr="00724A4D">
        <w:rPr>
          <w:rFonts w:eastAsia="Arial" w:cs="Arial"/>
          <w:color w:val="000000"/>
          <w:szCs w:val="24"/>
        </w:rPr>
        <w:t xml:space="preserve"> protesta en el que manifieste que cumple con los requisitos establecidos en el artículo 217, numeral 1, inciso d) de la LGIPE</w:t>
      </w:r>
      <w:r w:rsidR="0099149E">
        <w:rPr>
          <w:rFonts w:eastAsia="Arial" w:cs="Arial"/>
          <w:color w:val="000000"/>
          <w:szCs w:val="24"/>
        </w:rPr>
        <w:t>,</w:t>
      </w:r>
      <w:r w:rsidR="002A6346">
        <w:rPr>
          <w:rFonts w:eastAsia="Arial" w:cs="Arial"/>
          <w:color w:val="000000"/>
          <w:szCs w:val="24"/>
        </w:rPr>
        <w:t xml:space="preserve"> </w:t>
      </w:r>
      <w:r w:rsidRPr="002A6346">
        <w:rPr>
          <w:rFonts w:eastAsia="Arial" w:cs="Arial"/>
          <w:color w:val="000000"/>
          <w:szCs w:val="24"/>
        </w:rPr>
        <w:t xml:space="preserve">en el formato </w:t>
      </w:r>
      <w:r w:rsidR="0099149E" w:rsidRPr="002A6346">
        <w:rPr>
          <w:rFonts w:eastAsia="Arial" w:cs="Arial"/>
          <w:color w:val="000000"/>
          <w:szCs w:val="24"/>
        </w:rPr>
        <w:t>que apruebe el IEEPCO para tal efecto</w:t>
      </w:r>
      <w:r w:rsidR="00071F3B">
        <w:rPr>
          <w:rFonts w:eastAsia="Arial" w:cs="Arial"/>
          <w:color w:val="000000"/>
          <w:szCs w:val="24"/>
        </w:rPr>
        <w:t>.</w:t>
      </w:r>
    </w:p>
    <w:p w14:paraId="028E774A" w14:textId="70DBCB67" w:rsidR="007267E0" w:rsidRPr="00724A4D" w:rsidRDefault="007267E0" w:rsidP="0077738A">
      <w:pPr>
        <w:pStyle w:val="Prrafodelista"/>
        <w:numPr>
          <w:ilvl w:val="0"/>
          <w:numId w:val="32"/>
        </w:numPr>
        <w:spacing w:after="0" w:line="276" w:lineRule="auto"/>
        <w:rPr>
          <w:rFonts w:eastAsia="Arial" w:cs="Arial"/>
          <w:color w:val="000000"/>
          <w:szCs w:val="24"/>
        </w:rPr>
      </w:pPr>
      <w:r w:rsidRPr="00724A4D">
        <w:rPr>
          <w:rFonts w:eastAsia="Arial" w:cs="Arial"/>
          <w:color w:val="000000"/>
          <w:szCs w:val="24"/>
        </w:rPr>
        <w:t xml:space="preserve">Dos </w:t>
      </w:r>
      <w:r w:rsidR="00BA12B5" w:rsidRPr="00724A4D">
        <w:rPr>
          <w:rFonts w:eastAsia="Arial" w:cs="Arial"/>
          <w:color w:val="000000"/>
          <w:szCs w:val="24"/>
        </w:rPr>
        <w:t xml:space="preserve">fotografías recientes tamaño infantil de la persona solicitante, y </w:t>
      </w:r>
    </w:p>
    <w:p w14:paraId="098B1E8B" w14:textId="50C177F0" w:rsidR="00B311A4" w:rsidRPr="00724A4D" w:rsidRDefault="00BA12B5" w:rsidP="00B311A4">
      <w:pPr>
        <w:pStyle w:val="Prrafodelista"/>
        <w:numPr>
          <w:ilvl w:val="0"/>
          <w:numId w:val="32"/>
        </w:numPr>
        <w:spacing w:after="0" w:line="276" w:lineRule="auto"/>
        <w:rPr>
          <w:rFonts w:eastAsia="Arial" w:cs="Arial"/>
          <w:color w:val="000000"/>
          <w:szCs w:val="24"/>
        </w:rPr>
      </w:pPr>
      <w:r w:rsidRPr="00724A4D">
        <w:rPr>
          <w:rFonts w:eastAsia="Arial" w:cs="Arial"/>
          <w:color w:val="000000"/>
          <w:szCs w:val="24"/>
        </w:rPr>
        <w:t xml:space="preserve">Copia de la credencial </w:t>
      </w:r>
      <w:r w:rsidR="001A37C0" w:rsidRPr="00724A4D">
        <w:rPr>
          <w:rFonts w:eastAsia="Arial" w:cs="Arial"/>
          <w:color w:val="000000"/>
          <w:szCs w:val="24"/>
        </w:rPr>
        <w:t xml:space="preserve">para votar vigente. </w:t>
      </w:r>
    </w:p>
    <w:p w14:paraId="28BBE857" w14:textId="77777777" w:rsidR="00364E08" w:rsidRPr="00724A4D" w:rsidRDefault="00364E08" w:rsidP="00364E08">
      <w:pPr>
        <w:spacing w:after="0" w:line="276" w:lineRule="auto"/>
        <w:rPr>
          <w:rFonts w:eastAsia="Arial" w:cs="Arial"/>
          <w:color w:val="000000"/>
          <w:szCs w:val="24"/>
        </w:rPr>
      </w:pPr>
    </w:p>
    <w:p w14:paraId="4376D8D9" w14:textId="629EDA68" w:rsidR="00B311A4" w:rsidRPr="00724A4D" w:rsidRDefault="00B311A4" w:rsidP="00364E08">
      <w:pPr>
        <w:spacing w:after="0" w:line="276" w:lineRule="auto"/>
        <w:ind w:left="708"/>
        <w:rPr>
          <w:rFonts w:eastAsia="Arial" w:cs="Arial"/>
          <w:color w:val="000000"/>
          <w:szCs w:val="24"/>
        </w:rPr>
      </w:pPr>
      <w:r w:rsidRPr="00724A4D">
        <w:rPr>
          <w:rFonts w:eastAsia="Arial" w:cs="Arial"/>
          <w:color w:val="000000"/>
          <w:szCs w:val="24"/>
        </w:rPr>
        <w:t xml:space="preserve">La solicitud podrá ser presentada individualmente o a través de la organización de observadores </w:t>
      </w:r>
      <w:r w:rsidR="003673C6" w:rsidRPr="00724A4D">
        <w:rPr>
          <w:rFonts w:eastAsia="Arial" w:cs="Arial"/>
          <w:color w:val="000000"/>
          <w:szCs w:val="24"/>
        </w:rPr>
        <w:t>a la que pertenezca</w:t>
      </w:r>
      <w:r w:rsidR="00C5464A">
        <w:rPr>
          <w:rFonts w:eastAsia="Arial" w:cs="Arial"/>
          <w:color w:val="000000"/>
          <w:szCs w:val="24"/>
        </w:rPr>
        <w:t xml:space="preserve"> la ciudadanía. </w:t>
      </w:r>
    </w:p>
    <w:p w14:paraId="78CB099F" w14:textId="77777777" w:rsidR="00DA7755" w:rsidRPr="00724A4D" w:rsidRDefault="00DA7755" w:rsidP="00B311A4">
      <w:pPr>
        <w:spacing w:after="0" w:line="276" w:lineRule="auto"/>
        <w:ind w:left="1080"/>
        <w:rPr>
          <w:rFonts w:eastAsia="Arial" w:cs="Arial"/>
          <w:color w:val="000000"/>
          <w:szCs w:val="24"/>
        </w:rPr>
      </w:pPr>
    </w:p>
    <w:p w14:paraId="78E52B15" w14:textId="395EC02D" w:rsidR="0083357A" w:rsidRDefault="00DA7755" w:rsidP="00F931FE">
      <w:pPr>
        <w:spacing w:after="0" w:line="276" w:lineRule="auto"/>
        <w:ind w:left="708"/>
        <w:rPr>
          <w:rFonts w:eastAsia="Arial" w:cs="Arial"/>
          <w:color w:val="000000"/>
          <w:szCs w:val="24"/>
        </w:rPr>
      </w:pPr>
      <w:r w:rsidRPr="00724A4D">
        <w:rPr>
          <w:rFonts w:eastAsia="Arial" w:cs="Arial"/>
          <w:color w:val="000000"/>
          <w:szCs w:val="24"/>
        </w:rPr>
        <w:t>En caso de que la solicitud sea presentada por una organización de observadores</w:t>
      </w:r>
      <w:r w:rsidR="00C43096" w:rsidRPr="00724A4D">
        <w:rPr>
          <w:rFonts w:eastAsia="Arial" w:cs="Arial"/>
          <w:color w:val="000000"/>
          <w:szCs w:val="24"/>
        </w:rPr>
        <w:t>, la dirigencia</w:t>
      </w:r>
      <w:r w:rsidR="00C63A85" w:rsidRPr="00724A4D">
        <w:rPr>
          <w:rFonts w:eastAsia="Arial" w:cs="Arial"/>
          <w:color w:val="000000"/>
          <w:szCs w:val="24"/>
        </w:rPr>
        <w:t xml:space="preserve"> o representantes de la organización,</w:t>
      </w:r>
      <w:r w:rsidR="00812931">
        <w:rPr>
          <w:rFonts w:eastAsia="Arial" w:cs="Arial"/>
          <w:color w:val="000000"/>
          <w:szCs w:val="24"/>
        </w:rPr>
        <w:t xml:space="preserve"> presentarán </w:t>
      </w:r>
      <w:r w:rsidR="00943205">
        <w:rPr>
          <w:rFonts w:eastAsia="Arial" w:cs="Arial"/>
          <w:color w:val="000000"/>
          <w:szCs w:val="24"/>
        </w:rPr>
        <w:t>la</w:t>
      </w:r>
      <w:r w:rsidR="00812931">
        <w:rPr>
          <w:rFonts w:eastAsia="Arial" w:cs="Arial"/>
          <w:color w:val="000000"/>
          <w:szCs w:val="24"/>
        </w:rPr>
        <w:t xml:space="preserve"> solicitud en el formato que apruebe el IEEPCO para tal efecto</w:t>
      </w:r>
      <w:r w:rsidR="00F931FE">
        <w:rPr>
          <w:rFonts w:eastAsia="Arial" w:cs="Arial"/>
          <w:color w:val="000000"/>
          <w:szCs w:val="24"/>
        </w:rPr>
        <w:t xml:space="preserve"> e </w:t>
      </w:r>
      <w:r w:rsidR="00C63A85" w:rsidRPr="00724A4D">
        <w:rPr>
          <w:rFonts w:eastAsia="Arial" w:cs="Arial"/>
          <w:color w:val="000000"/>
          <w:szCs w:val="24"/>
        </w:rPr>
        <w:t xml:space="preserve">incluirán </w:t>
      </w:r>
      <w:r w:rsidR="007270C9" w:rsidRPr="00724A4D">
        <w:rPr>
          <w:rFonts w:eastAsia="Arial" w:cs="Arial"/>
          <w:color w:val="000000"/>
          <w:szCs w:val="24"/>
        </w:rPr>
        <w:t>una relación de la ciudadanía interesada pertenecientes a ella, así como las solicitudes individuales debidamente requisitadas.</w:t>
      </w:r>
    </w:p>
    <w:bookmarkEnd w:id="2"/>
    <w:p w14:paraId="22DE73AA" w14:textId="1C8F296E" w:rsidR="0083357A" w:rsidRPr="008313A0" w:rsidRDefault="0083357A" w:rsidP="009A1A6B">
      <w:pPr>
        <w:spacing w:before="100" w:beforeAutospacing="1" w:after="100" w:afterAutospacing="1" w:line="240" w:lineRule="auto"/>
        <w:ind w:left="708"/>
        <w:rPr>
          <w:rFonts w:eastAsia="Times New Roman" w:cs="Arial"/>
          <w:szCs w:val="24"/>
          <w:lang w:eastAsia="es-MX"/>
        </w:rPr>
      </w:pPr>
      <w:r w:rsidRPr="008313A0">
        <w:rPr>
          <w:rFonts w:eastAsia="Times New Roman" w:cs="Arial"/>
          <w:szCs w:val="24"/>
          <w:lang w:eastAsia="es-MX"/>
        </w:rPr>
        <w:t>En el caso de organizaciones integradas por, o que trabajen con, personas con categorías jurídicamente protegidas, éstas deberán observar y aplicar, en lo que resulte procedente para el ejercicio de la observación, los siguientes instrumentos:</w:t>
      </w:r>
    </w:p>
    <w:p w14:paraId="6AA1C672" w14:textId="77777777" w:rsidR="009A1A6B" w:rsidRPr="008313A0" w:rsidRDefault="0083357A" w:rsidP="009A1A6B">
      <w:pPr>
        <w:pStyle w:val="Prrafodelista"/>
        <w:numPr>
          <w:ilvl w:val="0"/>
          <w:numId w:val="41"/>
        </w:numPr>
        <w:spacing w:before="100" w:beforeAutospacing="1" w:after="100" w:afterAutospacing="1" w:line="240" w:lineRule="auto"/>
        <w:ind w:left="1428"/>
        <w:rPr>
          <w:rFonts w:eastAsia="Times New Roman" w:cs="Arial"/>
          <w:szCs w:val="24"/>
          <w:lang w:eastAsia="es-MX"/>
        </w:rPr>
      </w:pPr>
      <w:r w:rsidRPr="008313A0">
        <w:rPr>
          <w:rFonts w:eastAsia="Times New Roman" w:cs="Arial"/>
          <w:szCs w:val="24"/>
          <w:lang w:eastAsia="es-MX"/>
        </w:rPr>
        <w:t xml:space="preserve">El </w:t>
      </w:r>
      <w:r w:rsidRPr="008313A0">
        <w:rPr>
          <w:rFonts w:eastAsia="Times New Roman" w:cs="Arial"/>
          <w:b/>
          <w:szCs w:val="24"/>
          <w:lang w:eastAsia="es-MX"/>
        </w:rPr>
        <w:t>Protocolo para adoptar medidas tendientes a garantizar a las personas trans el ejercicio del voto en igualdad de condiciones y sin discriminación</w:t>
      </w:r>
      <w:r w:rsidRPr="008313A0">
        <w:rPr>
          <w:rFonts w:eastAsia="Times New Roman" w:cs="Arial"/>
          <w:szCs w:val="24"/>
          <w:lang w:eastAsia="es-MX"/>
        </w:rPr>
        <w:t xml:space="preserve"> en todos los tipos de elección y mecanismos de participación ciudadana del INE</w:t>
      </w:r>
      <w:r w:rsidRPr="008313A0">
        <w:rPr>
          <w:rStyle w:val="Refdenotaalpie"/>
          <w:rFonts w:eastAsia="Times New Roman" w:cs="Arial"/>
          <w:szCs w:val="24"/>
          <w:lang w:eastAsia="es-MX"/>
        </w:rPr>
        <w:footnoteReference w:id="19"/>
      </w:r>
      <w:r w:rsidRPr="008313A0">
        <w:rPr>
          <w:rFonts w:eastAsia="Times New Roman" w:cs="Arial"/>
          <w:szCs w:val="24"/>
          <w:lang w:eastAsia="es-MX"/>
        </w:rPr>
        <w:t>;</w:t>
      </w:r>
    </w:p>
    <w:p w14:paraId="565A4508" w14:textId="3B352D77" w:rsidR="00561D14" w:rsidRPr="008313A0" w:rsidRDefault="0083357A" w:rsidP="009A1A6B">
      <w:pPr>
        <w:pStyle w:val="Prrafodelista"/>
        <w:numPr>
          <w:ilvl w:val="0"/>
          <w:numId w:val="41"/>
        </w:numPr>
        <w:spacing w:before="100" w:beforeAutospacing="1" w:after="100" w:afterAutospacing="1" w:line="240" w:lineRule="auto"/>
        <w:ind w:left="1428"/>
        <w:rPr>
          <w:rFonts w:eastAsia="Times New Roman" w:cs="Arial"/>
          <w:szCs w:val="24"/>
          <w:lang w:eastAsia="es-MX"/>
        </w:rPr>
      </w:pPr>
      <w:r w:rsidRPr="008313A0">
        <w:rPr>
          <w:rFonts w:eastAsia="Times New Roman" w:cs="Arial"/>
          <w:szCs w:val="24"/>
          <w:lang w:eastAsia="es-MX"/>
        </w:rPr>
        <w:lastRenderedPageBreak/>
        <w:t xml:space="preserve">El </w:t>
      </w:r>
      <w:r w:rsidR="009A1A6B" w:rsidRPr="008313A0">
        <w:rPr>
          <w:rFonts w:eastAsia="Times New Roman" w:cs="Arial"/>
          <w:b/>
          <w:szCs w:val="24"/>
          <w:lang w:eastAsia="es-MX"/>
        </w:rPr>
        <w:t xml:space="preserve">Protocolo para la inclusión de las personas con discapacidad como funcionarias y funcionarios de mesas directivas de casilla del INE, </w:t>
      </w:r>
      <w:r w:rsidR="009A1A6B" w:rsidRPr="008313A0">
        <w:rPr>
          <w:rFonts w:eastAsia="Times New Roman" w:cs="Arial"/>
          <w:bCs/>
          <w:szCs w:val="24"/>
          <w:lang w:eastAsia="es-MX"/>
        </w:rPr>
        <w:t>exclusivamente en los aspectos aplicables al ejercicio de la observación.</w:t>
      </w:r>
    </w:p>
    <w:p w14:paraId="376B4847" w14:textId="668BAC72" w:rsidR="009D163E" w:rsidRPr="00AF549B" w:rsidRDefault="00425DF4" w:rsidP="00671149">
      <w:pPr>
        <w:numPr>
          <w:ilvl w:val="0"/>
          <w:numId w:val="2"/>
        </w:numPr>
        <w:spacing w:after="0" w:line="276" w:lineRule="auto"/>
        <w:rPr>
          <w:rStyle w:val="nfasis"/>
          <w:rFonts w:eastAsia="Arial" w:cs="Arial"/>
          <w:i w:val="0"/>
          <w:iCs w:val="0"/>
          <w:color w:val="000000"/>
          <w:szCs w:val="24"/>
        </w:rPr>
      </w:pPr>
      <w:r w:rsidRPr="00C541E4">
        <w:rPr>
          <w:rFonts w:eastAsia="Arial" w:cs="Arial"/>
          <w:color w:val="000000"/>
          <w:szCs w:val="24"/>
        </w:rPr>
        <w:t xml:space="preserve">Durante el presente proceso de </w:t>
      </w:r>
      <w:r w:rsidR="008313A0">
        <w:rPr>
          <w:rFonts w:eastAsia="Arial" w:cs="Arial"/>
          <w:color w:val="000000"/>
          <w:szCs w:val="24"/>
        </w:rPr>
        <w:t>R</w:t>
      </w:r>
      <w:r w:rsidRPr="00C541E4">
        <w:rPr>
          <w:rFonts w:eastAsia="Arial" w:cs="Arial"/>
          <w:color w:val="000000"/>
          <w:szCs w:val="24"/>
        </w:rPr>
        <w:t xml:space="preserve">evocación de </w:t>
      </w:r>
      <w:r w:rsidR="008313A0">
        <w:rPr>
          <w:rFonts w:eastAsia="Arial" w:cs="Arial"/>
          <w:color w:val="000000"/>
          <w:szCs w:val="24"/>
        </w:rPr>
        <w:t>M</w:t>
      </w:r>
      <w:r w:rsidRPr="00C541E4">
        <w:rPr>
          <w:rFonts w:eastAsia="Arial" w:cs="Arial"/>
          <w:color w:val="000000"/>
          <w:szCs w:val="24"/>
        </w:rPr>
        <w:t xml:space="preserve">andato, la ciudadanía podrá </w:t>
      </w:r>
      <w:r w:rsidR="00F82487" w:rsidRPr="00C541E4">
        <w:rPr>
          <w:rFonts w:eastAsia="Arial" w:cs="Arial"/>
          <w:color w:val="000000"/>
          <w:szCs w:val="24"/>
        </w:rPr>
        <w:t xml:space="preserve">presentar </w:t>
      </w:r>
      <w:r w:rsidR="006E72C7">
        <w:rPr>
          <w:rFonts w:eastAsia="Arial" w:cs="Arial"/>
          <w:color w:val="000000"/>
          <w:szCs w:val="24"/>
        </w:rPr>
        <w:t xml:space="preserve">la </w:t>
      </w:r>
      <w:r w:rsidR="00F82487" w:rsidRPr="00C541E4">
        <w:rPr>
          <w:rFonts w:eastAsia="Arial" w:cs="Arial"/>
          <w:color w:val="000000"/>
          <w:szCs w:val="24"/>
        </w:rPr>
        <w:t xml:space="preserve">solicitud de acreditación en dos modalidades; Presencial en alguna de las 25 sedes de los CD </w:t>
      </w:r>
      <w:r w:rsidR="00366F96" w:rsidRPr="00C541E4">
        <w:rPr>
          <w:rFonts w:eastAsia="Arial" w:cs="Arial"/>
          <w:color w:val="000000"/>
          <w:szCs w:val="24"/>
        </w:rPr>
        <w:t>y</w:t>
      </w:r>
      <w:r w:rsidR="00F82487" w:rsidRPr="00C541E4">
        <w:rPr>
          <w:rFonts w:eastAsia="Arial" w:cs="Arial"/>
          <w:color w:val="000000"/>
          <w:szCs w:val="24"/>
        </w:rPr>
        <w:t xml:space="preserve"> en las oficinas de la DEECyPC</w:t>
      </w:r>
      <w:r w:rsidR="00366F96" w:rsidRPr="00C541E4">
        <w:rPr>
          <w:rFonts w:eastAsia="Arial" w:cs="Arial"/>
          <w:color w:val="000000"/>
          <w:szCs w:val="24"/>
        </w:rPr>
        <w:t xml:space="preserve">, o virtual mediante el </w:t>
      </w:r>
      <w:r w:rsidR="00366F96" w:rsidRPr="00C541E4">
        <w:rPr>
          <w:rStyle w:val="nfasis"/>
        </w:rPr>
        <w:t xml:space="preserve">Sistema de Registro de Personas Observadoras del proceso de Revocación de Mandato de la </w:t>
      </w:r>
      <w:r w:rsidR="006E72C7">
        <w:rPr>
          <w:rStyle w:val="nfasis"/>
        </w:rPr>
        <w:t>p</w:t>
      </w:r>
      <w:r w:rsidR="00366F96" w:rsidRPr="00C541E4">
        <w:rPr>
          <w:rStyle w:val="nfasis"/>
        </w:rPr>
        <w:t xml:space="preserve">ersona </w:t>
      </w:r>
      <w:r w:rsidR="006E72C7">
        <w:rPr>
          <w:rStyle w:val="nfasis"/>
        </w:rPr>
        <w:t>t</w:t>
      </w:r>
      <w:r w:rsidR="00366F96" w:rsidRPr="00C541E4">
        <w:rPr>
          <w:rStyle w:val="nfasis"/>
        </w:rPr>
        <w:t>itular de la Gubernatura del Estado de Oaxaca para el periodo constitucional de 2022–2028</w:t>
      </w:r>
      <w:r w:rsidR="00E2268E">
        <w:rPr>
          <w:rStyle w:val="nfasis"/>
          <w:i w:val="0"/>
          <w:iCs w:val="0"/>
        </w:rPr>
        <w:t xml:space="preserve"> y el correo electrónico </w:t>
      </w:r>
      <w:hyperlink r:id="rId8" w:history="1">
        <w:r w:rsidR="00251F3E" w:rsidRPr="00EE7CBB">
          <w:rPr>
            <w:rStyle w:val="Hipervnculo"/>
            <w:rFonts w:cs="Arial"/>
          </w:rPr>
          <w:t>observacion.electoral@ieepco.mx</w:t>
        </w:r>
      </w:hyperlink>
      <w:r w:rsidR="00366F96" w:rsidRPr="00E2268E">
        <w:rPr>
          <w:rStyle w:val="nfasis"/>
          <w:b/>
          <w:bCs/>
        </w:rPr>
        <w:t>.</w:t>
      </w:r>
      <w:r w:rsidR="00251F3E">
        <w:rPr>
          <w:rStyle w:val="nfasis"/>
          <w:b/>
          <w:bCs/>
        </w:rPr>
        <w:t xml:space="preserve"> </w:t>
      </w:r>
    </w:p>
    <w:p w14:paraId="367BD2D8" w14:textId="77777777" w:rsidR="00AF549B" w:rsidRDefault="00AF549B" w:rsidP="00AF549B">
      <w:pPr>
        <w:pStyle w:val="Prrafodelista"/>
        <w:spacing w:after="0" w:line="276" w:lineRule="auto"/>
        <w:rPr>
          <w:rFonts w:eastAsia="Arial" w:cs="Arial"/>
        </w:rPr>
      </w:pPr>
    </w:p>
    <w:p w14:paraId="5D07B881" w14:textId="0F25B289" w:rsidR="00AF549B" w:rsidRPr="00AF549B" w:rsidRDefault="00AF549B" w:rsidP="00AF549B">
      <w:pPr>
        <w:pStyle w:val="Prrafodelista"/>
        <w:spacing w:after="0" w:line="276" w:lineRule="auto"/>
        <w:rPr>
          <w:rFonts w:eastAsia="Arial" w:cs="Arial"/>
        </w:rPr>
      </w:pPr>
      <w:r>
        <w:rPr>
          <w:rFonts w:eastAsia="Arial" w:cs="Arial"/>
        </w:rPr>
        <w:t>Se precisa que</w:t>
      </w:r>
      <w:r w:rsidR="00071F3B">
        <w:rPr>
          <w:rFonts w:eastAsia="Arial" w:cs="Arial"/>
        </w:rPr>
        <w:t>,</w:t>
      </w:r>
      <w:r>
        <w:rPr>
          <w:rFonts w:eastAsia="Arial" w:cs="Arial"/>
        </w:rPr>
        <w:t xml:space="preserve"> respecto a </w:t>
      </w:r>
      <w:r w:rsidRPr="00AF549B">
        <w:rPr>
          <w:rFonts w:eastAsia="Arial" w:cs="Arial"/>
        </w:rPr>
        <w:t xml:space="preserve">las solicitudes de acreditación de las organizaciones de personas interesadas en la observación de la Revocación de Mandato, podrán ser presentadas en modalidad presencial en los CD o las oficinas de la DEECyPC, </w:t>
      </w:r>
      <w:r>
        <w:rPr>
          <w:rFonts w:eastAsia="Arial" w:cs="Arial"/>
        </w:rPr>
        <w:t>y en modalidad virtual solamente</w:t>
      </w:r>
      <w:r w:rsidRPr="00AF549B">
        <w:rPr>
          <w:rFonts w:eastAsia="Arial" w:cs="Arial"/>
        </w:rPr>
        <w:t xml:space="preserve"> mediante el correo electrónico </w:t>
      </w:r>
      <w:hyperlink r:id="rId9" w:history="1">
        <w:r w:rsidRPr="00AF549B">
          <w:rPr>
            <w:rStyle w:val="Hipervnculo"/>
            <w:rFonts w:cs="Arial"/>
          </w:rPr>
          <w:t>observacion.electoral@ieepco.mx</w:t>
        </w:r>
      </w:hyperlink>
      <w:r w:rsidRPr="00AF549B">
        <w:rPr>
          <w:rStyle w:val="nfasis"/>
          <w:b/>
          <w:bCs/>
        </w:rPr>
        <w:t>.</w:t>
      </w:r>
      <w:r w:rsidRPr="00AF549B">
        <w:rPr>
          <w:rStyle w:val="nfasis"/>
          <w:b/>
          <w:bCs/>
          <w:i w:val="0"/>
          <w:iCs w:val="0"/>
        </w:rPr>
        <w:t xml:space="preserve"> </w:t>
      </w:r>
    </w:p>
    <w:p w14:paraId="13F9ACFA" w14:textId="77777777" w:rsidR="00366F96" w:rsidRPr="00614C35" w:rsidRDefault="00366F96" w:rsidP="00337430">
      <w:pPr>
        <w:spacing w:after="0" w:line="276" w:lineRule="auto"/>
        <w:rPr>
          <w:rStyle w:val="nfasis"/>
          <w:rFonts w:eastAsia="Arial" w:cs="Arial"/>
          <w:i w:val="0"/>
          <w:iCs w:val="0"/>
          <w:color w:val="000000"/>
          <w:szCs w:val="24"/>
        </w:rPr>
      </w:pPr>
    </w:p>
    <w:p w14:paraId="63690F5C" w14:textId="348ED2FE" w:rsidR="00614C35" w:rsidRPr="00614C35" w:rsidRDefault="00366F96" w:rsidP="00614C35">
      <w:pPr>
        <w:numPr>
          <w:ilvl w:val="0"/>
          <w:numId w:val="2"/>
        </w:numPr>
        <w:spacing w:after="0" w:line="276" w:lineRule="auto"/>
        <w:rPr>
          <w:rFonts w:eastAsia="Arial" w:cs="Arial"/>
        </w:rPr>
      </w:pPr>
      <w:r w:rsidRPr="00614C35">
        <w:rPr>
          <w:rFonts w:eastAsia="Arial" w:cs="Arial"/>
          <w:color w:val="000000"/>
          <w:szCs w:val="24"/>
        </w:rPr>
        <w:t xml:space="preserve">Respecto a la revisión </w:t>
      </w:r>
      <w:r w:rsidR="0060779C" w:rsidRPr="00614C35">
        <w:rPr>
          <w:rFonts w:eastAsia="Arial" w:cs="Arial"/>
          <w:color w:val="000000"/>
          <w:szCs w:val="24"/>
        </w:rPr>
        <w:t xml:space="preserve">del cumplimiento de los requisitos legales y documentales, se tomarán como referencia los plazos </w:t>
      </w:r>
      <w:r w:rsidR="00C54CF4" w:rsidRPr="00614C35">
        <w:rPr>
          <w:rFonts w:eastAsia="Arial" w:cs="Arial"/>
          <w:color w:val="000000"/>
          <w:szCs w:val="24"/>
        </w:rPr>
        <w:t>de las elecciones extraordinarias, previstos en el artículo 192, numeral 4 del RE</w:t>
      </w:r>
      <w:r w:rsidR="00735DED" w:rsidRPr="00614C35">
        <w:rPr>
          <w:rFonts w:eastAsia="Arial" w:cs="Arial"/>
          <w:color w:val="000000"/>
          <w:szCs w:val="24"/>
        </w:rPr>
        <w:t>, que establece que deberá realizarse en un plazo no mayor a tres días contados a partir de la recepción de la solicitud</w:t>
      </w:r>
      <w:r w:rsidR="00251F3E">
        <w:rPr>
          <w:rFonts w:eastAsia="Arial" w:cs="Arial"/>
        </w:rPr>
        <w:t xml:space="preserve">. </w:t>
      </w:r>
      <w:r w:rsidR="00614C35" w:rsidRPr="00614C35">
        <w:rPr>
          <w:rFonts w:eastAsia="Arial" w:cs="Arial"/>
        </w:rPr>
        <w:t>Si de la revisión se advirtiera la omisión de algún documento o requisito para obtener la acreditación, se notificará a la persona solicitante</w:t>
      </w:r>
      <w:r w:rsidR="00D340BD">
        <w:rPr>
          <w:rFonts w:eastAsia="Arial" w:cs="Arial"/>
        </w:rPr>
        <w:t xml:space="preserve"> o, en su caso, a la organización a la que pertenezca</w:t>
      </w:r>
      <w:r w:rsidR="00614C35" w:rsidRPr="00614C35">
        <w:rPr>
          <w:rFonts w:eastAsia="Arial" w:cs="Arial"/>
        </w:rPr>
        <w:t xml:space="preserve"> a través del medio autorizado para oír notificaciones, a efecto que, dentro de las veinticuatro horas siguientes a la notificación </w:t>
      </w:r>
      <w:r w:rsidR="00614C35" w:rsidRPr="008313A0">
        <w:rPr>
          <w:rFonts w:eastAsia="Arial" w:cs="Arial"/>
        </w:rPr>
        <w:t>hecha por el IEEPCO o los CD</w:t>
      </w:r>
      <w:r w:rsidR="005043C5">
        <w:rPr>
          <w:rFonts w:eastAsia="Arial" w:cs="Arial"/>
        </w:rPr>
        <w:t>,</w:t>
      </w:r>
      <w:r w:rsidR="00614C35" w:rsidRPr="008313A0">
        <w:rPr>
          <w:rFonts w:eastAsia="Arial" w:cs="Arial"/>
        </w:rPr>
        <w:t xml:space="preserve"> </w:t>
      </w:r>
      <w:r w:rsidR="00614C35" w:rsidRPr="00614C35">
        <w:rPr>
          <w:rFonts w:eastAsia="Arial" w:cs="Arial"/>
        </w:rPr>
        <w:t xml:space="preserve">presente los documentos o la información que subsanen la omisión. </w:t>
      </w:r>
    </w:p>
    <w:p w14:paraId="5F6EBFFC" w14:textId="507F28C4" w:rsidR="00425DF4" w:rsidRPr="00614C35" w:rsidRDefault="00425DF4" w:rsidP="00614C35">
      <w:pPr>
        <w:spacing w:after="0" w:line="276" w:lineRule="auto"/>
        <w:ind w:left="720"/>
        <w:rPr>
          <w:rFonts w:eastAsia="Arial" w:cs="Arial"/>
          <w:color w:val="000000"/>
          <w:szCs w:val="24"/>
        </w:rPr>
      </w:pPr>
    </w:p>
    <w:p w14:paraId="1407ED04" w14:textId="5206704B" w:rsidR="00C272A2" w:rsidRPr="008313A0" w:rsidRDefault="00C272A2" w:rsidP="00671149">
      <w:pPr>
        <w:numPr>
          <w:ilvl w:val="0"/>
          <w:numId w:val="2"/>
        </w:numPr>
        <w:spacing w:after="0" w:line="276" w:lineRule="auto"/>
        <w:rPr>
          <w:rFonts w:eastAsia="Arial" w:cs="Arial"/>
          <w:color w:val="000000"/>
          <w:szCs w:val="24"/>
        </w:rPr>
      </w:pPr>
      <w:r w:rsidRPr="008313A0">
        <w:rPr>
          <w:rFonts w:eastAsia="Arial" w:cs="Arial"/>
          <w:color w:val="000000"/>
          <w:szCs w:val="24"/>
        </w:rPr>
        <w:t xml:space="preserve">Ahora bien, respecto al curso de </w:t>
      </w:r>
      <w:r w:rsidR="00614C35" w:rsidRPr="008313A0">
        <w:rPr>
          <w:rFonts w:eastAsia="Arial" w:cs="Arial"/>
          <w:color w:val="000000"/>
          <w:szCs w:val="24"/>
        </w:rPr>
        <w:t>capacitación referido en el considerando 24</w:t>
      </w:r>
      <w:r w:rsidR="0064639A" w:rsidRPr="008313A0">
        <w:rPr>
          <w:rFonts w:eastAsia="Arial" w:cs="Arial"/>
          <w:color w:val="000000"/>
          <w:szCs w:val="24"/>
        </w:rPr>
        <w:t>, fracción IV</w:t>
      </w:r>
      <w:r w:rsidRPr="008313A0">
        <w:rPr>
          <w:rFonts w:eastAsia="Arial" w:cs="Arial"/>
          <w:color w:val="000000"/>
          <w:szCs w:val="24"/>
        </w:rPr>
        <w:t xml:space="preserve">, </w:t>
      </w:r>
      <w:r w:rsidR="00A07737" w:rsidRPr="008313A0">
        <w:rPr>
          <w:rFonts w:eastAsia="Arial" w:cs="Arial"/>
          <w:color w:val="000000"/>
          <w:szCs w:val="24"/>
        </w:rPr>
        <w:t>de conformidad con el artículo 194 del RE</w:t>
      </w:r>
      <w:r w:rsidR="00A07737" w:rsidRPr="008313A0">
        <w:rPr>
          <w:rFonts w:eastAsia="Arial" w:cs="Arial"/>
          <w:szCs w:val="24"/>
        </w:rPr>
        <w:t xml:space="preserve">, </w:t>
      </w:r>
      <w:r w:rsidR="0064639A" w:rsidRPr="008313A0">
        <w:rPr>
          <w:rFonts w:eastAsia="Arial" w:cs="Arial"/>
          <w:szCs w:val="24"/>
        </w:rPr>
        <w:t>en este Proceso de Revocación de Mandato</w:t>
      </w:r>
      <w:r w:rsidR="00D340BD">
        <w:rPr>
          <w:rFonts w:eastAsia="Arial" w:cs="Arial"/>
          <w:szCs w:val="24"/>
        </w:rPr>
        <w:t xml:space="preserve"> su facilitación</w:t>
      </w:r>
      <w:r w:rsidR="0064639A" w:rsidRPr="008313A0">
        <w:rPr>
          <w:rFonts w:eastAsia="Arial" w:cs="Arial"/>
          <w:szCs w:val="24"/>
        </w:rPr>
        <w:t xml:space="preserve"> será </w:t>
      </w:r>
      <w:r w:rsidR="00AA6E2D" w:rsidRPr="008313A0">
        <w:rPr>
          <w:rFonts w:eastAsia="Arial" w:cs="Arial"/>
          <w:szCs w:val="24"/>
        </w:rPr>
        <w:t xml:space="preserve">responsabilidad del OPL </w:t>
      </w:r>
      <w:r w:rsidR="00AA6E2D" w:rsidRPr="008313A0">
        <w:rPr>
          <w:rFonts w:eastAsia="Arial" w:cs="Arial"/>
          <w:color w:val="000000"/>
          <w:szCs w:val="24"/>
        </w:rPr>
        <w:t>o de las propias organizaciones a las que pertenezcan las personas observadoras, en términos de los previsto en el artículo 217</w:t>
      </w:r>
      <w:r w:rsidR="001A4F6F" w:rsidRPr="008313A0">
        <w:rPr>
          <w:rFonts w:eastAsia="Arial" w:cs="Arial"/>
          <w:color w:val="000000"/>
          <w:szCs w:val="24"/>
        </w:rPr>
        <w:t>, numeral 1, inciso d), fracción IV de la LGIPE</w:t>
      </w:r>
      <w:r w:rsidR="004C0B0A" w:rsidRPr="008313A0">
        <w:rPr>
          <w:rStyle w:val="Refdenotaalpie"/>
          <w:rFonts w:eastAsia="Arial" w:cs="Arial"/>
          <w:color w:val="000000"/>
          <w:szCs w:val="24"/>
        </w:rPr>
        <w:footnoteReference w:id="20"/>
      </w:r>
      <w:r w:rsidR="001A4F6F" w:rsidRPr="008313A0">
        <w:rPr>
          <w:rFonts w:eastAsia="Arial" w:cs="Arial"/>
          <w:color w:val="000000"/>
          <w:szCs w:val="24"/>
        </w:rPr>
        <w:t xml:space="preserve">. </w:t>
      </w:r>
    </w:p>
    <w:p w14:paraId="10F1CFC7" w14:textId="77777777" w:rsidR="00746977" w:rsidRPr="00EB53D5" w:rsidRDefault="00746977" w:rsidP="00746977">
      <w:pPr>
        <w:spacing w:after="0" w:line="276" w:lineRule="auto"/>
        <w:ind w:left="720"/>
        <w:rPr>
          <w:rFonts w:eastAsia="Arial" w:cs="Arial"/>
          <w:color w:val="000000"/>
          <w:szCs w:val="24"/>
          <w:highlight w:val="yellow"/>
        </w:rPr>
      </w:pPr>
    </w:p>
    <w:p w14:paraId="3079AD26" w14:textId="674D625A" w:rsidR="00746977" w:rsidRPr="00F64277" w:rsidRDefault="006601AA" w:rsidP="00746977">
      <w:pPr>
        <w:spacing w:after="0" w:line="276" w:lineRule="auto"/>
        <w:ind w:left="720"/>
        <w:rPr>
          <w:rFonts w:eastAsia="Arial" w:cs="Arial"/>
          <w:color w:val="FF0000"/>
          <w:szCs w:val="24"/>
        </w:rPr>
      </w:pPr>
      <w:r w:rsidRPr="00F64277">
        <w:rPr>
          <w:rFonts w:eastAsia="Arial" w:cs="Arial"/>
          <w:color w:val="000000"/>
          <w:szCs w:val="24"/>
        </w:rPr>
        <w:t>Para</w:t>
      </w:r>
      <w:r w:rsidR="00F64277">
        <w:rPr>
          <w:rFonts w:eastAsia="Arial" w:cs="Arial"/>
          <w:color w:val="000000"/>
          <w:szCs w:val="24"/>
        </w:rPr>
        <w:t xml:space="preserve"> </w:t>
      </w:r>
      <w:r w:rsidR="00F64277" w:rsidRPr="008313A0">
        <w:rPr>
          <w:rFonts w:eastAsia="Arial" w:cs="Arial"/>
          <w:color w:val="000000"/>
          <w:szCs w:val="24"/>
        </w:rPr>
        <w:t>el actual proceso de Revocación de Mandato,</w:t>
      </w:r>
      <w:r w:rsidRPr="008313A0">
        <w:rPr>
          <w:rFonts w:eastAsia="Arial" w:cs="Arial"/>
          <w:color w:val="000000"/>
          <w:szCs w:val="24"/>
        </w:rPr>
        <w:t xml:space="preserve"> se habilitará </w:t>
      </w:r>
      <w:r w:rsidR="00F64277" w:rsidRPr="008313A0">
        <w:rPr>
          <w:rFonts w:eastAsia="Arial" w:cs="Arial"/>
          <w:color w:val="000000"/>
          <w:szCs w:val="24"/>
        </w:rPr>
        <w:t>un</w:t>
      </w:r>
      <w:r w:rsidR="002C3B21" w:rsidRPr="008313A0">
        <w:rPr>
          <w:rFonts w:eastAsia="Arial" w:cs="Arial"/>
          <w:color w:val="000000"/>
          <w:szCs w:val="24"/>
        </w:rPr>
        <w:t xml:space="preserve"> </w:t>
      </w:r>
      <w:r w:rsidRPr="008313A0">
        <w:rPr>
          <w:rFonts w:eastAsia="Arial" w:cs="Arial"/>
          <w:color w:val="000000"/>
          <w:szCs w:val="24"/>
        </w:rPr>
        <w:t>curso de capacitación</w:t>
      </w:r>
      <w:r w:rsidR="002C3B21" w:rsidRPr="008313A0">
        <w:rPr>
          <w:rFonts w:eastAsia="Arial" w:cs="Arial"/>
          <w:color w:val="000000"/>
          <w:szCs w:val="24"/>
        </w:rPr>
        <w:t xml:space="preserve">, diseñado por la DEECyPC, </w:t>
      </w:r>
      <w:r w:rsidRPr="008313A0">
        <w:rPr>
          <w:rFonts w:eastAsia="Arial" w:cs="Arial"/>
          <w:color w:val="000000"/>
          <w:szCs w:val="24"/>
        </w:rPr>
        <w:t>de manera virtual</w:t>
      </w:r>
      <w:r w:rsidR="001670B0" w:rsidRPr="008313A0">
        <w:rPr>
          <w:rFonts w:eastAsia="Arial" w:cs="Arial"/>
          <w:color w:val="000000"/>
          <w:szCs w:val="24"/>
        </w:rPr>
        <w:t xml:space="preserve"> en el </w:t>
      </w:r>
      <w:r w:rsidR="00F82487" w:rsidRPr="008313A0">
        <w:rPr>
          <w:rStyle w:val="nfasis"/>
        </w:rPr>
        <w:t xml:space="preserve">Sistema de Registro de Personas Observadoras del proceso de Revocación de Mandato </w:t>
      </w:r>
      <w:r w:rsidR="00F82487" w:rsidRPr="008313A0">
        <w:rPr>
          <w:rStyle w:val="nfasis"/>
        </w:rPr>
        <w:lastRenderedPageBreak/>
        <w:t xml:space="preserve">de la </w:t>
      </w:r>
      <w:r w:rsidR="00C71E14">
        <w:rPr>
          <w:rStyle w:val="nfasis"/>
        </w:rPr>
        <w:t>p</w:t>
      </w:r>
      <w:r w:rsidR="00F82487" w:rsidRPr="008313A0">
        <w:rPr>
          <w:rStyle w:val="nfasis"/>
        </w:rPr>
        <w:t xml:space="preserve">ersona </w:t>
      </w:r>
      <w:r w:rsidR="00C71E14">
        <w:rPr>
          <w:rStyle w:val="nfasis"/>
        </w:rPr>
        <w:t>ti</w:t>
      </w:r>
      <w:r w:rsidR="00F82487" w:rsidRPr="008313A0">
        <w:rPr>
          <w:rStyle w:val="nfasis"/>
        </w:rPr>
        <w:t>tular de la Gubernatura del Estado de Oaxaca para el periodo constitucional de 2022–2028</w:t>
      </w:r>
      <w:r w:rsidR="001670B0" w:rsidRPr="008313A0">
        <w:rPr>
          <w:rFonts w:eastAsia="Arial" w:cs="Arial"/>
          <w:b/>
          <w:bCs/>
          <w:color w:val="000000"/>
          <w:szCs w:val="24"/>
        </w:rPr>
        <w:t xml:space="preserve">. </w:t>
      </w:r>
      <w:r w:rsidR="001670B0" w:rsidRPr="008313A0">
        <w:rPr>
          <w:rFonts w:eastAsia="Arial" w:cs="Arial"/>
          <w:color w:val="000000"/>
          <w:szCs w:val="24"/>
        </w:rPr>
        <w:t>En lo que respecta a l</w:t>
      </w:r>
      <w:r w:rsidR="00E60CDC" w:rsidRPr="008313A0">
        <w:rPr>
          <w:rFonts w:eastAsia="Arial" w:cs="Arial"/>
          <w:color w:val="000000"/>
          <w:szCs w:val="24"/>
        </w:rPr>
        <w:t>a modalidad</w:t>
      </w:r>
      <w:r w:rsidR="001670B0" w:rsidRPr="008313A0">
        <w:rPr>
          <w:rFonts w:eastAsia="Arial" w:cs="Arial"/>
          <w:color w:val="000000"/>
          <w:szCs w:val="24"/>
        </w:rPr>
        <w:t xml:space="preserve"> presencial, éstos serán impartidos por personal de la DEECyPC y de los CD</w:t>
      </w:r>
      <w:r w:rsidR="008021B8" w:rsidRPr="008313A0">
        <w:rPr>
          <w:rFonts w:eastAsia="Arial" w:cs="Arial"/>
          <w:szCs w:val="24"/>
        </w:rPr>
        <w:t>, o las organizaciones de personas observadoras que así lo soliciten</w:t>
      </w:r>
      <w:r w:rsidR="001670B0" w:rsidRPr="008313A0">
        <w:rPr>
          <w:rFonts w:eastAsia="Arial" w:cs="Arial"/>
          <w:szCs w:val="24"/>
        </w:rPr>
        <w:t xml:space="preserve">. </w:t>
      </w:r>
    </w:p>
    <w:p w14:paraId="39DCD7F6" w14:textId="77777777" w:rsidR="001670B0" w:rsidRDefault="001670B0" w:rsidP="00746977">
      <w:pPr>
        <w:spacing w:after="0" w:line="276" w:lineRule="auto"/>
        <w:ind w:left="720"/>
        <w:rPr>
          <w:rFonts w:eastAsia="Arial" w:cs="Arial"/>
          <w:color w:val="000000"/>
          <w:szCs w:val="24"/>
          <w:highlight w:val="yellow"/>
        </w:rPr>
      </w:pPr>
    </w:p>
    <w:p w14:paraId="574D7787" w14:textId="2EEF7AA7" w:rsidR="0028730A" w:rsidRPr="008313A0" w:rsidRDefault="00E7214A" w:rsidP="00E7214A">
      <w:pPr>
        <w:spacing w:after="0" w:line="276" w:lineRule="auto"/>
        <w:ind w:left="720"/>
        <w:rPr>
          <w:rFonts w:eastAsia="Arial" w:cs="Arial"/>
        </w:rPr>
      </w:pPr>
      <w:r w:rsidRPr="008313A0">
        <w:rPr>
          <w:rFonts w:eastAsia="Arial" w:cs="Arial"/>
        </w:rPr>
        <w:t xml:space="preserve">Dicho curso, dado los tiempos reducidos en la operatividad del proceso de Revocación de Mandato que nos ocupa, </w:t>
      </w:r>
      <w:r w:rsidR="0028730A" w:rsidRPr="008313A0">
        <w:rPr>
          <w:rFonts w:eastAsia="Arial" w:cs="Arial"/>
        </w:rPr>
        <w:t>deberá ser realizado por la ciudadanía preferentemente al momento de presentar su solicitud</w:t>
      </w:r>
      <w:r w:rsidR="00C72022" w:rsidRPr="008313A0">
        <w:rPr>
          <w:rFonts w:eastAsia="Arial" w:cs="Arial"/>
        </w:rPr>
        <w:t xml:space="preserve">, ya sea en modalidad presencial o virtual. </w:t>
      </w:r>
      <w:r w:rsidR="0028730A" w:rsidRPr="008313A0">
        <w:rPr>
          <w:rFonts w:eastAsia="Arial" w:cs="Arial"/>
        </w:rPr>
        <w:t xml:space="preserve"> </w:t>
      </w:r>
    </w:p>
    <w:p w14:paraId="1E579147" w14:textId="77777777" w:rsidR="0028730A" w:rsidRDefault="0028730A" w:rsidP="00E7214A">
      <w:pPr>
        <w:spacing w:after="0" w:line="276" w:lineRule="auto"/>
        <w:ind w:left="720"/>
        <w:rPr>
          <w:rFonts w:eastAsia="Arial" w:cs="Arial"/>
          <w:highlight w:val="yellow"/>
        </w:rPr>
      </w:pPr>
    </w:p>
    <w:p w14:paraId="5BDDF97C" w14:textId="6E79F633" w:rsidR="002F2FEC" w:rsidRPr="00FD0544" w:rsidRDefault="00441328" w:rsidP="00FD0544">
      <w:pPr>
        <w:spacing w:after="0" w:line="276" w:lineRule="auto"/>
        <w:ind w:left="720"/>
      </w:pPr>
      <w:r>
        <w:t xml:space="preserve">En el caso de la </w:t>
      </w:r>
      <w:r w:rsidR="00FD0544">
        <w:t xml:space="preserve">presentación de solicitudes de acreditación en </w:t>
      </w:r>
      <w:r w:rsidRPr="002F2FEC">
        <w:rPr>
          <w:rStyle w:val="Textoennegrita"/>
          <w:b w:val="0"/>
          <w:bCs w:val="0"/>
        </w:rPr>
        <w:t>modalidad virtual</w:t>
      </w:r>
      <w:r>
        <w:t xml:space="preserve">, </w:t>
      </w:r>
      <w:r w:rsidR="00FD0544">
        <w:t xml:space="preserve">a través del </w:t>
      </w:r>
      <w:r w:rsidR="00FD0544" w:rsidRPr="008313A0">
        <w:rPr>
          <w:rStyle w:val="nfasis"/>
        </w:rPr>
        <w:t xml:space="preserve">Sistema de Registro de Personas Observadoras del proceso de Revocación de Mandato de la </w:t>
      </w:r>
      <w:r w:rsidR="00FD0544">
        <w:rPr>
          <w:rStyle w:val="nfasis"/>
        </w:rPr>
        <w:t>p</w:t>
      </w:r>
      <w:r w:rsidR="00FD0544" w:rsidRPr="008313A0">
        <w:rPr>
          <w:rStyle w:val="nfasis"/>
        </w:rPr>
        <w:t xml:space="preserve">ersona </w:t>
      </w:r>
      <w:r w:rsidR="00FD0544">
        <w:rPr>
          <w:rStyle w:val="nfasis"/>
        </w:rPr>
        <w:t>ti</w:t>
      </w:r>
      <w:r w:rsidR="00FD0544" w:rsidRPr="008313A0">
        <w:rPr>
          <w:rStyle w:val="nfasis"/>
        </w:rPr>
        <w:t>tular de la Gubernatura del Estado de Oaxaca para el periodo constitucional de 2022–2028</w:t>
      </w:r>
      <w:r w:rsidR="00FD0544" w:rsidRPr="00071F3B">
        <w:rPr>
          <w:rFonts w:eastAsia="Arial" w:cs="Arial"/>
          <w:color w:val="000000"/>
          <w:szCs w:val="24"/>
        </w:rPr>
        <w:t>,</w:t>
      </w:r>
      <w:r w:rsidR="00FD0544">
        <w:rPr>
          <w:rFonts w:eastAsia="Arial" w:cs="Arial"/>
          <w:b/>
          <w:bCs/>
          <w:color w:val="000000"/>
          <w:szCs w:val="24"/>
        </w:rPr>
        <w:t xml:space="preserve"> </w:t>
      </w:r>
      <w:r>
        <w:t xml:space="preserve">la persona solicitante podrá realizar el curso de capacitación </w:t>
      </w:r>
      <w:r w:rsidRPr="002F2FEC">
        <w:rPr>
          <w:rStyle w:val="Textoennegrita"/>
          <w:b w:val="0"/>
          <w:bCs w:val="0"/>
        </w:rPr>
        <w:t>en el mismo acto en que formula su solicitud</w:t>
      </w:r>
      <w:r>
        <w:t>.</w:t>
      </w:r>
      <w:r w:rsidR="00D36AEE">
        <w:t xml:space="preserve"> </w:t>
      </w:r>
      <w:r w:rsidR="00D36AEE" w:rsidRPr="008313A0">
        <w:t xml:space="preserve">Sin embargo, también </w:t>
      </w:r>
      <w:r w:rsidR="00C04CD7">
        <w:t>se habilitará</w:t>
      </w:r>
      <w:r w:rsidR="00D36AEE" w:rsidRPr="008313A0">
        <w:t xml:space="preserve"> la opción de que la ciudadanía elija tomar el curso de manera presencial, para lo </w:t>
      </w:r>
      <w:r w:rsidR="00071F3B" w:rsidRPr="008313A0">
        <w:t>cual</w:t>
      </w:r>
      <w:r w:rsidR="00D36AEE" w:rsidRPr="008313A0">
        <w:t xml:space="preserve"> deberá asistir al CD más cercano a su domicilio a las oficinas de la DEECyPC, en un plazo no mayor a tres días </w:t>
      </w:r>
      <w:r w:rsidR="007D0E83" w:rsidRPr="008313A0">
        <w:t xml:space="preserve">contados </w:t>
      </w:r>
      <w:r w:rsidR="00D36AEE" w:rsidRPr="008313A0">
        <w:t xml:space="preserve">a partir de haber presentado su solicitud. </w:t>
      </w:r>
    </w:p>
    <w:p w14:paraId="69C624BA" w14:textId="77777777" w:rsidR="002F2FEC" w:rsidRPr="008313A0" w:rsidRDefault="002F2FEC" w:rsidP="002F2FEC">
      <w:pPr>
        <w:spacing w:after="0" w:line="276" w:lineRule="auto"/>
        <w:ind w:left="720"/>
        <w:rPr>
          <w:rFonts w:eastAsia="Arial" w:cs="Arial"/>
        </w:rPr>
      </w:pPr>
    </w:p>
    <w:p w14:paraId="364A67C8" w14:textId="136D83A9" w:rsidR="00E7214A" w:rsidRPr="008C2A78" w:rsidRDefault="00F10979" w:rsidP="008C2A78">
      <w:pPr>
        <w:spacing w:after="0" w:line="276" w:lineRule="auto"/>
        <w:ind w:left="720"/>
        <w:rPr>
          <w:rFonts w:eastAsia="Arial" w:cs="Arial"/>
          <w:highlight w:val="yellow"/>
        </w:rPr>
      </w:pPr>
      <w:r w:rsidRPr="008313A0">
        <w:rPr>
          <w:rFonts w:eastAsia="Arial" w:cs="Arial"/>
        </w:rPr>
        <w:t>Respecto</w:t>
      </w:r>
      <w:r w:rsidR="00E7214A" w:rsidRPr="008313A0">
        <w:rPr>
          <w:rFonts w:eastAsia="Arial" w:cs="Arial"/>
        </w:rPr>
        <w:t xml:space="preserve"> a la </w:t>
      </w:r>
      <w:r w:rsidR="00251266">
        <w:rPr>
          <w:rFonts w:eastAsia="Arial" w:cs="Arial"/>
        </w:rPr>
        <w:t xml:space="preserve">presentación de solicitudes de acreditación en </w:t>
      </w:r>
      <w:r w:rsidR="00E7214A" w:rsidRPr="008313A0">
        <w:rPr>
          <w:rFonts w:eastAsia="Arial" w:cs="Arial"/>
        </w:rPr>
        <w:t xml:space="preserve">modalidad presencial, la capacitación </w:t>
      </w:r>
      <w:r w:rsidR="00AA1CC5" w:rsidRPr="008313A0">
        <w:rPr>
          <w:rFonts w:eastAsia="Arial" w:cs="Arial"/>
        </w:rPr>
        <w:t>podrá</w:t>
      </w:r>
      <w:r w:rsidR="00E7214A" w:rsidRPr="008313A0">
        <w:rPr>
          <w:rFonts w:eastAsia="Arial" w:cs="Arial"/>
        </w:rPr>
        <w:t xml:space="preserve"> ser programada </w:t>
      </w:r>
      <w:r w:rsidR="00AA1CC5" w:rsidRPr="008313A0">
        <w:rPr>
          <w:rFonts w:eastAsia="Arial" w:cs="Arial"/>
        </w:rPr>
        <w:t xml:space="preserve">e impartida preferentemente </w:t>
      </w:r>
      <w:r w:rsidR="00E7214A" w:rsidRPr="008313A0">
        <w:rPr>
          <w:rFonts w:eastAsia="Arial" w:cs="Arial"/>
        </w:rPr>
        <w:t>en el momento en que la ciudadanía acuda a las sedes de los CD o la DEECyPC a presentar su solicitud</w:t>
      </w:r>
      <w:r w:rsidR="008A6C98">
        <w:rPr>
          <w:rFonts w:eastAsia="Arial" w:cs="Arial"/>
        </w:rPr>
        <w:t xml:space="preserve">. </w:t>
      </w:r>
      <w:r w:rsidR="008C2A78">
        <w:t xml:space="preserve">Cuando la ciudadanía opte por realizar el curso con posterioridad, deberá ser </w:t>
      </w:r>
      <w:r w:rsidR="008C2A78">
        <w:rPr>
          <w:rStyle w:val="Textoennegrita"/>
        </w:rPr>
        <w:t xml:space="preserve">dentro del plazo de tres días </w:t>
      </w:r>
      <w:r w:rsidR="007D0E83">
        <w:rPr>
          <w:rStyle w:val="Textoennegrita"/>
        </w:rPr>
        <w:t xml:space="preserve">contados </w:t>
      </w:r>
      <w:r w:rsidR="008C2A78">
        <w:t>a</w:t>
      </w:r>
      <w:r w:rsidR="007D0E83">
        <w:t xml:space="preserve"> partir de</w:t>
      </w:r>
      <w:r w:rsidR="008C2A78">
        <w:t xml:space="preserve"> la presentación de la solicitud de acreditación, apercibida la persona solicitante de que la omisión de acreditar la capacitación en dicho plazo dará lugar a la improcedencia de </w:t>
      </w:r>
      <w:r w:rsidR="00FD480B">
        <w:t xml:space="preserve">la misma. </w:t>
      </w:r>
    </w:p>
    <w:p w14:paraId="3BF6E6D1" w14:textId="77777777" w:rsidR="00E7214A" w:rsidRDefault="00E7214A" w:rsidP="00746977">
      <w:pPr>
        <w:spacing w:after="0" w:line="276" w:lineRule="auto"/>
        <w:ind w:left="720"/>
        <w:rPr>
          <w:rFonts w:eastAsia="Arial" w:cs="Arial"/>
          <w:color w:val="000000"/>
          <w:szCs w:val="24"/>
          <w:highlight w:val="yellow"/>
        </w:rPr>
      </w:pPr>
    </w:p>
    <w:p w14:paraId="7D756196" w14:textId="04A23AC2" w:rsidR="00305411" w:rsidRPr="00503722" w:rsidRDefault="00305411" w:rsidP="00337430">
      <w:pPr>
        <w:spacing w:after="0" w:line="276" w:lineRule="auto"/>
        <w:ind w:left="720"/>
        <w:rPr>
          <w:rFonts w:eastAsia="Arial" w:cs="Arial"/>
        </w:rPr>
      </w:pPr>
      <w:r w:rsidRPr="00503722">
        <w:rPr>
          <w:rFonts w:eastAsia="Arial" w:cs="Arial"/>
        </w:rPr>
        <w:t xml:space="preserve">En lo que hace a los cursos impartidos por organizaciones, de conformidad con el artículo 196, numerales 2 y 3 del RE, para tal fin, éstas deberán dar </w:t>
      </w:r>
      <w:r w:rsidRPr="008313A0">
        <w:rPr>
          <w:rFonts w:eastAsia="Arial" w:cs="Arial"/>
        </w:rPr>
        <w:t xml:space="preserve">aviso al momento </w:t>
      </w:r>
      <w:r w:rsidR="005155A4">
        <w:rPr>
          <w:rFonts w:eastAsia="Arial" w:cs="Arial"/>
        </w:rPr>
        <w:t>de presentar su solicitud</w:t>
      </w:r>
      <w:r w:rsidR="0055288B">
        <w:rPr>
          <w:rFonts w:eastAsia="Arial" w:cs="Arial"/>
        </w:rPr>
        <w:t xml:space="preserve">, del interés de capacitar a sus integrantes. Para tal efecto el IEEPCO aprobará el formato por el cuál darán aviso dirigido a la Presidencia del Consejo General. </w:t>
      </w:r>
      <w:r w:rsidR="00186850" w:rsidRPr="008313A0">
        <w:rPr>
          <w:rFonts w:eastAsia="Arial" w:cs="Arial"/>
        </w:rPr>
        <w:t xml:space="preserve">El curso deberá ser impartido en un plazo de tres días </w:t>
      </w:r>
      <w:r w:rsidR="007D0E83" w:rsidRPr="008313A0">
        <w:rPr>
          <w:rFonts w:eastAsia="Arial" w:cs="Arial"/>
        </w:rPr>
        <w:t>contados a partir de</w:t>
      </w:r>
      <w:r w:rsidR="00186850" w:rsidRPr="008313A0">
        <w:rPr>
          <w:rFonts w:eastAsia="Arial" w:cs="Arial"/>
        </w:rPr>
        <w:t xml:space="preserve"> la presentación de la solicitud colectiva de acreditación. </w:t>
      </w:r>
      <w:r w:rsidRPr="00503722">
        <w:rPr>
          <w:rFonts w:eastAsia="Arial" w:cs="Arial"/>
        </w:rPr>
        <w:t>En caso de que no asista alguna persona representante de</w:t>
      </w:r>
      <w:r w:rsidR="00F8349E">
        <w:rPr>
          <w:rFonts w:eastAsia="Arial" w:cs="Arial"/>
        </w:rPr>
        <w:t xml:space="preserve"> la DEECyPC o los CD</w:t>
      </w:r>
      <w:r w:rsidRPr="00503722">
        <w:rPr>
          <w:rFonts w:eastAsia="Arial" w:cs="Arial"/>
        </w:rPr>
        <w:t xml:space="preserve">, para supervisar el desarrollo del curso, éste se tendrá por acreditado para las personas asistentes que reporte la organización de </w:t>
      </w:r>
      <w:r w:rsidR="009366D2" w:rsidRPr="00503722">
        <w:rPr>
          <w:rFonts w:eastAsia="Arial" w:cs="Arial"/>
        </w:rPr>
        <w:t>observadores</w:t>
      </w:r>
      <w:r w:rsidR="009366D2">
        <w:rPr>
          <w:rFonts w:eastAsia="Arial" w:cs="Arial"/>
        </w:rPr>
        <w:t>.</w:t>
      </w:r>
      <w:r w:rsidRPr="00503722">
        <w:rPr>
          <w:rFonts w:eastAsia="Arial" w:cs="Arial"/>
        </w:rPr>
        <w:t xml:space="preserve"> El reporte deberá anexar el registro de asistencia con la firma autógrafa de cada persona ciudadana asistente. </w:t>
      </w:r>
    </w:p>
    <w:p w14:paraId="3228716E" w14:textId="77777777" w:rsidR="004D2F62" w:rsidRPr="008313A0" w:rsidRDefault="004D2F62" w:rsidP="00590297">
      <w:pPr>
        <w:spacing w:after="0" w:line="276" w:lineRule="auto"/>
        <w:rPr>
          <w:rFonts w:eastAsia="Arial" w:cs="Arial"/>
          <w:color w:val="000000"/>
          <w:szCs w:val="24"/>
        </w:rPr>
      </w:pPr>
    </w:p>
    <w:p w14:paraId="5179165F" w14:textId="4CD4392C" w:rsidR="00C272A2" w:rsidRPr="00EB53D5" w:rsidRDefault="004D2F62" w:rsidP="00F8349E">
      <w:pPr>
        <w:spacing w:after="0" w:line="276" w:lineRule="auto"/>
        <w:ind w:left="720"/>
        <w:rPr>
          <w:rFonts w:eastAsia="Arial" w:cs="Arial"/>
          <w:color w:val="000000"/>
          <w:szCs w:val="24"/>
          <w:highlight w:val="yellow"/>
        </w:rPr>
      </w:pPr>
      <w:bookmarkStart w:id="3" w:name="_Hlk216369831"/>
      <w:r w:rsidRPr="008313A0">
        <w:rPr>
          <w:rFonts w:eastAsia="Arial" w:cs="Arial"/>
          <w:color w:val="000000"/>
          <w:szCs w:val="24"/>
        </w:rPr>
        <w:lastRenderedPageBreak/>
        <w:t xml:space="preserve">El IEEPCO, </w:t>
      </w:r>
      <w:r w:rsidR="008E49B2" w:rsidRPr="008313A0">
        <w:rPr>
          <w:rFonts w:eastAsia="Arial" w:cs="Arial"/>
          <w:color w:val="000000"/>
          <w:szCs w:val="24"/>
        </w:rPr>
        <w:t xml:space="preserve">a través de su página web institucional, pondrá a disposición de sus órganos desconcentrados </w:t>
      </w:r>
      <w:r w:rsidR="00C95AF6" w:rsidRPr="008313A0">
        <w:rPr>
          <w:rFonts w:eastAsia="Arial" w:cs="Arial"/>
          <w:color w:val="000000"/>
          <w:szCs w:val="24"/>
        </w:rPr>
        <w:t>y las organizaciones de observación los materiales didácticos que se utilizará para la capacitación correspondiente</w:t>
      </w:r>
      <w:r w:rsidR="00A2460C">
        <w:rPr>
          <w:rFonts w:eastAsia="Arial" w:cs="Arial"/>
          <w:color w:val="000000"/>
          <w:szCs w:val="24"/>
        </w:rPr>
        <w:t>, sin perjuicio de que sean proporcionados por la DEECyPC y los CD</w:t>
      </w:r>
      <w:r w:rsidR="00C95AF6" w:rsidRPr="008313A0">
        <w:rPr>
          <w:rFonts w:eastAsia="Arial" w:cs="Arial"/>
          <w:color w:val="000000"/>
          <w:szCs w:val="24"/>
        </w:rPr>
        <w:t>.</w:t>
      </w:r>
      <w:r w:rsidR="00C95AF6" w:rsidRPr="008313A0">
        <w:rPr>
          <w:rStyle w:val="Refdenotaalpie"/>
          <w:rFonts w:eastAsia="Arial" w:cs="Arial"/>
          <w:color w:val="000000"/>
          <w:szCs w:val="24"/>
        </w:rPr>
        <w:footnoteReference w:id="21"/>
      </w:r>
      <w:r w:rsidR="00C95AF6" w:rsidRPr="008313A0">
        <w:rPr>
          <w:rFonts w:eastAsia="Arial" w:cs="Arial"/>
          <w:color w:val="000000"/>
          <w:szCs w:val="24"/>
        </w:rPr>
        <w:t xml:space="preserve"> </w:t>
      </w:r>
      <w:bookmarkEnd w:id="3"/>
    </w:p>
    <w:p w14:paraId="2CFE9A36" w14:textId="77777777" w:rsidR="00671149" w:rsidRPr="00590297" w:rsidRDefault="00671149" w:rsidP="00590297">
      <w:pPr>
        <w:spacing w:after="0" w:line="276" w:lineRule="auto"/>
        <w:rPr>
          <w:rFonts w:eastAsia="Arial" w:cs="Arial"/>
          <w:color w:val="000000"/>
          <w:szCs w:val="24"/>
        </w:rPr>
      </w:pPr>
    </w:p>
    <w:p w14:paraId="187E098E" w14:textId="6369064B" w:rsidR="00671149" w:rsidRPr="00612F3F" w:rsidRDefault="00671149" w:rsidP="00671149">
      <w:pPr>
        <w:numPr>
          <w:ilvl w:val="0"/>
          <w:numId w:val="2"/>
        </w:numPr>
        <w:spacing w:after="0" w:line="276" w:lineRule="auto"/>
        <w:rPr>
          <w:rFonts w:eastAsia="Arial" w:cs="Arial"/>
          <w:color w:val="000000"/>
          <w:szCs w:val="24"/>
        </w:rPr>
      </w:pPr>
      <w:r w:rsidRPr="00612F3F">
        <w:rPr>
          <w:rFonts w:eastAsia="Arial" w:cs="Arial"/>
          <w:color w:val="000000"/>
          <w:szCs w:val="24"/>
        </w:rPr>
        <w:t xml:space="preserve">Por </w:t>
      </w:r>
      <w:r w:rsidR="005F25D2" w:rsidRPr="00612F3F">
        <w:rPr>
          <w:rFonts w:eastAsia="Arial" w:cs="Arial"/>
          <w:color w:val="000000"/>
          <w:szCs w:val="24"/>
        </w:rPr>
        <w:t xml:space="preserve">su parte, </w:t>
      </w:r>
      <w:r w:rsidR="005F25D2" w:rsidRPr="008313A0">
        <w:rPr>
          <w:rFonts w:eastAsia="Arial" w:cs="Arial"/>
          <w:color w:val="000000"/>
          <w:szCs w:val="24"/>
        </w:rPr>
        <w:t xml:space="preserve">el </w:t>
      </w:r>
      <w:r w:rsidR="00612F3F" w:rsidRPr="008313A0">
        <w:rPr>
          <w:rFonts w:eastAsia="Arial" w:cs="Arial"/>
          <w:color w:val="000000"/>
          <w:szCs w:val="24"/>
        </w:rPr>
        <w:t>RE</w:t>
      </w:r>
      <w:r w:rsidR="005F25D2" w:rsidRPr="008313A0">
        <w:rPr>
          <w:rFonts w:eastAsia="Arial" w:cs="Arial"/>
          <w:color w:val="000000"/>
          <w:szCs w:val="24"/>
        </w:rPr>
        <w:t>,</w:t>
      </w:r>
      <w:r w:rsidR="005F25D2" w:rsidRPr="00612F3F">
        <w:rPr>
          <w:rFonts w:eastAsia="Arial" w:cs="Arial"/>
          <w:color w:val="000000"/>
          <w:szCs w:val="24"/>
        </w:rPr>
        <w:t xml:space="preserve"> en </w:t>
      </w:r>
      <w:r w:rsidR="00B12CAA" w:rsidRPr="00612F3F">
        <w:rPr>
          <w:rFonts w:eastAsia="Arial" w:cs="Arial"/>
          <w:color w:val="000000"/>
          <w:szCs w:val="24"/>
        </w:rPr>
        <w:t>los artículos</w:t>
      </w:r>
      <w:r w:rsidR="00C4229F" w:rsidRPr="00612F3F">
        <w:rPr>
          <w:rFonts w:eastAsia="Arial" w:cs="Arial"/>
          <w:color w:val="000000"/>
          <w:szCs w:val="24"/>
        </w:rPr>
        <w:t xml:space="preserve"> </w:t>
      </w:r>
      <w:r w:rsidR="001F3EBA" w:rsidRPr="00612F3F">
        <w:rPr>
          <w:rFonts w:eastAsia="Arial" w:cs="Arial"/>
          <w:color w:val="000000"/>
          <w:szCs w:val="24"/>
        </w:rPr>
        <w:t xml:space="preserve">204 al </w:t>
      </w:r>
      <w:r w:rsidR="00B12CAA" w:rsidRPr="00612F3F">
        <w:rPr>
          <w:rFonts w:eastAsia="Arial" w:cs="Arial"/>
          <w:color w:val="000000"/>
          <w:szCs w:val="24"/>
        </w:rPr>
        <w:t>206, establece las siguientes restricciones para las personas observadoras</w:t>
      </w:r>
      <w:r w:rsidR="003218D1" w:rsidRPr="00612F3F">
        <w:rPr>
          <w:rFonts w:eastAsia="Arial" w:cs="Arial"/>
          <w:color w:val="000000"/>
          <w:szCs w:val="24"/>
        </w:rPr>
        <w:t xml:space="preserve">, </w:t>
      </w:r>
      <w:r w:rsidR="00CE6185">
        <w:rPr>
          <w:rFonts w:eastAsia="Arial" w:cs="Arial"/>
          <w:color w:val="000000"/>
          <w:szCs w:val="24"/>
        </w:rPr>
        <w:t xml:space="preserve">que </w:t>
      </w:r>
      <w:r w:rsidR="003218D1" w:rsidRPr="00612F3F">
        <w:rPr>
          <w:rFonts w:eastAsia="Arial" w:cs="Arial"/>
          <w:color w:val="000000"/>
          <w:szCs w:val="24"/>
        </w:rPr>
        <w:t xml:space="preserve">aplicables </w:t>
      </w:r>
      <w:r w:rsidR="00286A47" w:rsidRPr="00612F3F">
        <w:rPr>
          <w:rFonts w:eastAsia="Arial" w:cs="Arial"/>
          <w:color w:val="000000"/>
          <w:szCs w:val="24"/>
        </w:rPr>
        <w:t xml:space="preserve">a la observación en el presente proceso de Revocación de Mandato, </w:t>
      </w:r>
      <w:r w:rsidR="00FD462C" w:rsidRPr="00612F3F">
        <w:rPr>
          <w:rFonts w:eastAsia="Arial" w:cs="Arial"/>
          <w:color w:val="000000"/>
          <w:szCs w:val="24"/>
        </w:rPr>
        <w:t>constituyen las siguientes</w:t>
      </w:r>
      <w:r w:rsidR="00286A47" w:rsidRPr="00612F3F">
        <w:rPr>
          <w:rFonts w:eastAsia="Arial" w:cs="Arial"/>
          <w:color w:val="000000"/>
          <w:szCs w:val="24"/>
        </w:rPr>
        <w:t>:</w:t>
      </w:r>
    </w:p>
    <w:p w14:paraId="53B6742E" w14:textId="77777777" w:rsidR="00CC5EC7" w:rsidRPr="00612F3F" w:rsidRDefault="00CC5EC7" w:rsidP="00CC5EC7">
      <w:pPr>
        <w:spacing w:after="0" w:line="276" w:lineRule="auto"/>
        <w:ind w:left="720"/>
        <w:rPr>
          <w:rFonts w:eastAsia="Arial" w:cs="Arial"/>
          <w:color w:val="000000"/>
          <w:szCs w:val="24"/>
        </w:rPr>
      </w:pPr>
    </w:p>
    <w:p w14:paraId="7375649E" w14:textId="281DFE42" w:rsidR="001F3EBA" w:rsidRPr="00612F3F" w:rsidRDefault="00B001CF" w:rsidP="00B12CAA">
      <w:pPr>
        <w:pStyle w:val="Prrafodelista"/>
        <w:numPr>
          <w:ilvl w:val="0"/>
          <w:numId w:val="25"/>
        </w:numPr>
        <w:spacing w:after="0" w:line="276" w:lineRule="auto"/>
        <w:rPr>
          <w:rFonts w:eastAsia="Arial" w:cs="Arial"/>
          <w:color w:val="000000"/>
          <w:szCs w:val="24"/>
        </w:rPr>
      </w:pPr>
      <w:r w:rsidRPr="00612F3F">
        <w:rPr>
          <w:rFonts w:eastAsia="Arial" w:cs="Arial"/>
          <w:color w:val="000000"/>
          <w:szCs w:val="24"/>
        </w:rPr>
        <w:t xml:space="preserve">Las personas acreditadas como observadoras deberán abstenerse de declarar tendencias sobre </w:t>
      </w:r>
      <w:r w:rsidR="00192224">
        <w:rPr>
          <w:rFonts w:eastAsia="Arial" w:cs="Arial"/>
          <w:color w:val="000000"/>
          <w:szCs w:val="24"/>
        </w:rPr>
        <w:t>las emisiones de opinión</w:t>
      </w:r>
      <w:r w:rsidRPr="00612F3F">
        <w:rPr>
          <w:rFonts w:eastAsia="Arial" w:cs="Arial"/>
          <w:color w:val="000000"/>
          <w:szCs w:val="24"/>
        </w:rPr>
        <w:t>, portar o utilizar embl</w:t>
      </w:r>
      <w:r w:rsidR="00FD462C" w:rsidRPr="00612F3F">
        <w:rPr>
          <w:rFonts w:eastAsia="Arial" w:cs="Arial"/>
          <w:color w:val="000000"/>
          <w:szCs w:val="24"/>
        </w:rPr>
        <w:t xml:space="preserve">emas, distintivos, escudos o cualquier otra imagen relacionada con partidos políticos, posturas políticas </w:t>
      </w:r>
      <w:r w:rsidR="00824D11" w:rsidRPr="00612F3F">
        <w:rPr>
          <w:rFonts w:eastAsia="Arial" w:cs="Arial"/>
          <w:color w:val="000000"/>
          <w:szCs w:val="24"/>
        </w:rPr>
        <w:t xml:space="preserve">o ideológicas relacionadas con las posibles respuestas de la Revocación de Mandato. </w:t>
      </w:r>
    </w:p>
    <w:p w14:paraId="73EB98E0" w14:textId="7175E89B" w:rsidR="00496CF1" w:rsidRPr="003605E7" w:rsidRDefault="003218D1" w:rsidP="003605E7">
      <w:pPr>
        <w:pStyle w:val="Prrafodelista"/>
        <w:numPr>
          <w:ilvl w:val="0"/>
          <w:numId w:val="25"/>
        </w:numPr>
        <w:spacing w:after="0" w:line="276" w:lineRule="auto"/>
        <w:rPr>
          <w:rFonts w:eastAsia="Arial" w:cs="Arial"/>
          <w:color w:val="000000"/>
          <w:szCs w:val="24"/>
        </w:rPr>
      </w:pPr>
      <w:r w:rsidRPr="00612F3F">
        <w:rPr>
          <w:rFonts w:eastAsia="Arial" w:cs="Arial"/>
          <w:color w:val="000000"/>
          <w:szCs w:val="24"/>
        </w:rPr>
        <w:t>Las personas que sean designadas para integrar las mesas directivas de casilla durante la Jornada de Re</w:t>
      </w:r>
      <w:r w:rsidR="00286A47" w:rsidRPr="00612F3F">
        <w:rPr>
          <w:rFonts w:eastAsia="Arial" w:cs="Arial"/>
          <w:color w:val="000000"/>
          <w:szCs w:val="24"/>
        </w:rPr>
        <w:t>vocación de Mandato</w:t>
      </w:r>
      <w:r w:rsidR="00CC5EC7" w:rsidRPr="00612F3F">
        <w:rPr>
          <w:rFonts w:eastAsia="Arial" w:cs="Arial"/>
          <w:color w:val="000000"/>
          <w:szCs w:val="24"/>
        </w:rPr>
        <w:t xml:space="preserve">, en ningún caso podrán ser acreditadas como observadoras con posterioridad a la referida designación. </w:t>
      </w:r>
      <w:r w:rsidR="008E26C0" w:rsidRPr="003605E7">
        <w:rPr>
          <w:rFonts w:eastAsia="Arial" w:cs="Arial"/>
          <w:color w:val="000000"/>
          <w:szCs w:val="24"/>
        </w:rPr>
        <w:t xml:space="preserve"> </w:t>
      </w:r>
    </w:p>
    <w:p w14:paraId="7D4661C0" w14:textId="77777777" w:rsidR="00EE7D5F" w:rsidRDefault="00EE7D5F" w:rsidP="00F96DE2">
      <w:pPr>
        <w:spacing w:after="0" w:line="276" w:lineRule="auto"/>
        <w:rPr>
          <w:rFonts w:eastAsia="Arial" w:cs="Arial"/>
          <w:color w:val="000000"/>
          <w:szCs w:val="24"/>
        </w:rPr>
      </w:pPr>
    </w:p>
    <w:p w14:paraId="485CE80D" w14:textId="21913550" w:rsidR="00B75A29" w:rsidRDefault="005B559F" w:rsidP="00014CA4">
      <w:pPr>
        <w:numPr>
          <w:ilvl w:val="0"/>
          <w:numId w:val="2"/>
        </w:numPr>
        <w:spacing w:after="0" w:line="276" w:lineRule="auto"/>
        <w:rPr>
          <w:rFonts w:eastAsia="Arial" w:cs="Arial"/>
          <w:color w:val="000000"/>
          <w:szCs w:val="24"/>
        </w:rPr>
      </w:pPr>
      <w:r w:rsidRPr="00EE7D5F">
        <w:rPr>
          <w:rFonts w:eastAsia="Arial" w:cs="Arial"/>
          <w:color w:val="000000"/>
          <w:szCs w:val="24"/>
        </w:rPr>
        <w:t>De conformidad con el artículo 217, numeral 1, inciso g</w:t>
      </w:r>
      <w:r w:rsidR="00561D14" w:rsidRPr="00EE7D5F">
        <w:rPr>
          <w:rFonts w:eastAsia="Arial" w:cs="Arial"/>
          <w:color w:val="000000"/>
          <w:szCs w:val="24"/>
        </w:rPr>
        <w:t>)</w:t>
      </w:r>
      <w:r w:rsidRPr="00EE7D5F">
        <w:rPr>
          <w:rFonts w:eastAsia="Arial" w:cs="Arial"/>
          <w:color w:val="000000"/>
          <w:szCs w:val="24"/>
        </w:rPr>
        <w:t xml:space="preserve"> de la LGIPE las personas ciudadanas acreditadas como observadoras</w:t>
      </w:r>
      <w:r w:rsidR="002A45D0">
        <w:rPr>
          <w:rFonts w:eastAsia="Arial" w:cs="Arial"/>
          <w:color w:val="000000"/>
          <w:szCs w:val="24"/>
        </w:rPr>
        <w:t xml:space="preserve"> </w:t>
      </w:r>
      <w:r w:rsidRPr="00EE7D5F">
        <w:rPr>
          <w:rFonts w:eastAsia="Arial" w:cs="Arial"/>
          <w:color w:val="000000"/>
          <w:szCs w:val="24"/>
        </w:rPr>
        <w:t xml:space="preserve">podrán solicitar </w:t>
      </w:r>
      <w:r w:rsidR="00B75A29" w:rsidRPr="00EE7D5F">
        <w:rPr>
          <w:rFonts w:eastAsia="Arial" w:cs="Arial"/>
          <w:color w:val="000000"/>
          <w:szCs w:val="24"/>
        </w:rPr>
        <w:t xml:space="preserve">al IEEPCO la información </w:t>
      </w:r>
      <w:r w:rsidR="00596E26">
        <w:rPr>
          <w:rFonts w:eastAsia="Arial" w:cs="Arial"/>
          <w:color w:val="000000"/>
          <w:szCs w:val="24"/>
        </w:rPr>
        <w:t>en materia de Revocación de Mandato</w:t>
      </w:r>
      <w:r w:rsidR="00596E26" w:rsidRPr="00EE7D5F">
        <w:rPr>
          <w:rFonts w:eastAsia="Arial" w:cs="Arial"/>
          <w:color w:val="000000"/>
          <w:szCs w:val="24"/>
        </w:rPr>
        <w:t xml:space="preserve"> </w:t>
      </w:r>
      <w:r w:rsidR="00B75A29" w:rsidRPr="00EE7D5F">
        <w:rPr>
          <w:rFonts w:eastAsia="Arial" w:cs="Arial"/>
          <w:color w:val="000000"/>
          <w:szCs w:val="24"/>
        </w:rPr>
        <w:t xml:space="preserve">que requieran para el mejor desarrollo de sus actividades. Dicha información será proporcionada siempre que no sea reservada o confidencial en los términos de la legislación aplicable, y que existan las posibilidades materiales y técnicas para su entrega. </w:t>
      </w:r>
    </w:p>
    <w:p w14:paraId="32327FFA" w14:textId="77777777" w:rsidR="00014CA4" w:rsidRPr="00014CA4" w:rsidRDefault="00014CA4" w:rsidP="00014CA4">
      <w:pPr>
        <w:spacing w:after="0" w:line="276" w:lineRule="auto"/>
        <w:ind w:left="720"/>
        <w:rPr>
          <w:rFonts w:eastAsia="Arial" w:cs="Arial"/>
          <w:color w:val="000000"/>
          <w:szCs w:val="24"/>
        </w:rPr>
      </w:pPr>
    </w:p>
    <w:p w14:paraId="4891B703" w14:textId="5AB6F55C" w:rsidR="00865DFD" w:rsidRPr="007C1099" w:rsidRDefault="00A80C0C" w:rsidP="0093700C">
      <w:pPr>
        <w:numPr>
          <w:ilvl w:val="0"/>
          <w:numId w:val="2"/>
        </w:numPr>
        <w:spacing w:after="0" w:line="276" w:lineRule="auto"/>
        <w:rPr>
          <w:rFonts w:eastAsia="Arial" w:cs="Arial"/>
          <w:color w:val="000000"/>
          <w:szCs w:val="24"/>
        </w:rPr>
      </w:pPr>
      <w:r>
        <w:rPr>
          <w:rFonts w:eastAsia="Arial" w:cs="Arial"/>
          <w:color w:val="000000"/>
          <w:szCs w:val="24"/>
        </w:rPr>
        <w:t>El</w:t>
      </w:r>
      <w:r w:rsidR="00E429FD" w:rsidRPr="007C1099">
        <w:rPr>
          <w:rFonts w:eastAsia="Arial" w:cs="Arial"/>
          <w:color w:val="000000"/>
          <w:szCs w:val="24"/>
        </w:rPr>
        <w:t xml:space="preserve"> artículo 217, numeral 1, inciso </w:t>
      </w:r>
      <w:r w:rsidR="006D765D" w:rsidRPr="007C1099">
        <w:rPr>
          <w:rFonts w:eastAsia="Arial" w:cs="Arial"/>
          <w:color w:val="000000"/>
          <w:szCs w:val="24"/>
        </w:rPr>
        <w:t>i</w:t>
      </w:r>
      <w:r w:rsidR="00561D14" w:rsidRPr="007C1099">
        <w:rPr>
          <w:rFonts w:eastAsia="Arial" w:cs="Arial"/>
          <w:color w:val="000000"/>
          <w:szCs w:val="24"/>
        </w:rPr>
        <w:t>)</w:t>
      </w:r>
      <w:r w:rsidR="00E429FD" w:rsidRPr="007C1099">
        <w:rPr>
          <w:rFonts w:eastAsia="Arial" w:cs="Arial"/>
          <w:color w:val="000000"/>
          <w:szCs w:val="24"/>
        </w:rPr>
        <w:t xml:space="preserve"> de la LGIPE,</w:t>
      </w:r>
      <w:r w:rsidR="006D765D" w:rsidRPr="007C1099">
        <w:rPr>
          <w:rFonts w:eastAsia="Arial" w:cs="Arial"/>
          <w:color w:val="000000"/>
          <w:szCs w:val="24"/>
        </w:rPr>
        <w:t xml:space="preserve"> establece que las personas observadoras podrán presentarse el día de la jornada con sus acreditaciones e identificaciones en una o varias casillas, así como en el </w:t>
      </w:r>
      <w:r w:rsidR="00471441" w:rsidRPr="007C1099">
        <w:rPr>
          <w:rFonts w:eastAsia="Arial" w:cs="Arial"/>
          <w:color w:val="000000"/>
          <w:szCs w:val="24"/>
        </w:rPr>
        <w:t>local de los Consejos correspondientes, pudiendo observar los siguientes actos:</w:t>
      </w:r>
    </w:p>
    <w:p w14:paraId="23CB2017" w14:textId="77777777" w:rsidR="00865DFD" w:rsidRPr="007C1099" w:rsidRDefault="00865DFD" w:rsidP="00865DFD">
      <w:pPr>
        <w:spacing w:after="0" w:line="276" w:lineRule="auto"/>
        <w:ind w:left="720"/>
        <w:rPr>
          <w:rFonts w:eastAsia="Arial" w:cs="Arial"/>
          <w:color w:val="000000"/>
          <w:szCs w:val="24"/>
        </w:rPr>
      </w:pPr>
    </w:p>
    <w:p w14:paraId="1CB8D94F" w14:textId="77777777" w:rsidR="00192224" w:rsidRPr="00192224" w:rsidRDefault="00192224" w:rsidP="00192224">
      <w:pPr>
        <w:numPr>
          <w:ilvl w:val="0"/>
          <w:numId w:val="10"/>
        </w:numPr>
        <w:spacing w:after="0" w:line="276" w:lineRule="auto"/>
        <w:contextualSpacing/>
        <w:jc w:val="left"/>
        <w:rPr>
          <w:rFonts w:eastAsia="Arial" w:cs="Arial"/>
          <w:color w:val="000000"/>
          <w:szCs w:val="24"/>
        </w:rPr>
      </w:pPr>
      <w:r w:rsidRPr="00192224">
        <w:rPr>
          <w:rFonts w:eastAsia="Arial" w:cs="Arial"/>
          <w:color w:val="000000"/>
          <w:szCs w:val="24"/>
        </w:rPr>
        <w:t xml:space="preserve">Instalación de la casilla. </w:t>
      </w:r>
    </w:p>
    <w:p w14:paraId="7A75744D" w14:textId="1EA03634" w:rsidR="00192224" w:rsidRPr="0000597B" w:rsidRDefault="00192224" w:rsidP="00192224">
      <w:pPr>
        <w:numPr>
          <w:ilvl w:val="0"/>
          <w:numId w:val="10"/>
        </w:numPr>
        <w:spacing w:after="0" w:line="276" w:lineRule="auto"/>
        <w:contextualSpacing/>
        <w:jc w:val="left"/>
        <w:rPr>
          <w:rFonts w:eastAsia="Arial" w:cs="Arial"/>
          <w:color w:val="000000"/>
          <w:szCs w:val="24"/>
        </w:rPr>
      </w:pPr>
      <w:r w:rsidRPr="00192224">
        <w:rPr>
          <w:rFonts w:eastAsia="Arial" w:cs="Arial"/>
          <w:color w:val="000000"/>
          <w:szCs w:val="24"/>
        </w:rPr>
        <w:t xml:space="preserve">Desarrollo de la </w:t>
      </w:r>
      <w:r w:rsidRPr="0000597B">
        <w:rPr>
          <w:rFonts w:eastAsia="Arial" w:cs="Arial"/>
          <w:color w:val="000000"/>
          <w:szCs w:val="24"/>
        </w:rPr>
        <w:t>emisi</w:t>
      </w:r>
      <w:r w:rsidR="00CF23FA" w:rsidRPr="0000597B">
        <w:rPr>
          <w:rFonts w:eastAsia="Arial" w:cs="Arial"/>
          <w:color w:val="000000"/>
          <w:szCs w:val="24"/>
        </w:rPr>
        <w:t>ón</w:t>
      </w:r>
      <w:r w:rsidRPr="0000597B">
        <w:rPr>
          <w:rFonts w:eastAsia="Arial" w:cs="Arial"/>
          <w:color w:val="000000"/>
          <w:szCs w:val="24"/>
        </w:rPr>
        <w:t xml:space="preserve"> de opinión.</w:t>
      </w:r>
    </w:p>
    <w:p w14:paraId="06FBAE8E" w14:textId="77777777" w:rsidR="00192224" w:rsidRPr="0000597B" w:rsidRDefault="00192224" w:rsidP="00192224">
      <w:pPr>
        <w:numPr>
          <w:ilvl w:val="0"/>
          <w:numId w:val="10"/>
        </w:numPr>
        <w:spacing w:after="0" w:line="276" w:lineRule="auto"/>
        <w:contextualSpacing/>
        <w:jc w:val="left"/>
        <w:rPr>
          <w:rFonts w:eastAsia="Arial" w:cs="Arial"/>
          <w:color w:val="000000"/>
          <w:szCs w:val="24"/>
        </w:rPr>
      </w:pPr>
      <w:r w:rsidRPr="0000597B">
        <w:rPr>
          <w:rFonts w:eastAsia="Arial" w:cs="Arial"/>
          <w:color w:val="000000"/>
          <w:szCs w:val="24"/>
        </w:rPr>
        <w:t>Escrutinio y cómputo de las emisiones de opinión en la casilla.</w:t>
      </w:r>
    </w:p>
    <w:p w14:paraId="00642561" w14:textId="77777777" w:rsidR="00192224" w:rsidRPr="0000597B" w:rsidRDefault="00192224" w:rsidP="00192224">
      <w:pPr>
        <w:numPr>
          <w:ilvl w:val="0"/>
          <w:numId w:val="10"/>
        </w:numPr>
        <w:spacing w:after="0" w:line="276" w:lineRule="auto"/>
        <w:contextualSpacing/>
        <w:jc w:val="left"/>
        <w:rPr>
          <w:rFonts w:eastAsia="Arial" w:cs="Arial"/>
          <w:color w:val="000000"/>
          <w:szCs w:val="24"/>
        </w:rPr>
      </w:pPr>
      <w:r w:rsidRPr="0000597B">
        <w:rPr>
          <w:rFonts w:eastAsia="Arial" w:cs="Arial"/>
          <w:color w:val="000000"/>
          <w:szCs w:val="24"/>
        </w:rPr>
        <w:t>Fijación de resultados de las emisiones de opinión en el exterior de la casilla.</w:t>
      </w:r>
    </w:p>
    <w:p w14:paraId="1CFA98A9" w14:textId="77777777" w:rsidR="00192224" w:rsidRPr="00192224" w:rsidRDefault="00192224" w:rsidP="00192224">
      <w:pPr>
        <w:numPr>
          <w:ilvl w:val="0"/>
          <w:numId w:val="10"/>
        </w:numPr>
        <w:spacing w:after="0" w:line="276" w:lineRule="auto"/>
        <w:contextualSpacing/>
        <w:jc w:val="left"/>
        <w:rPr>
          <w:rFonts w:eastAsia="Arial" w:cs="Arial"/>
          <w:color w:val="000000"/>
          <w:szCs w:val="24"/>
        </w:rPr>
      </w:pPr>
      <w:r w:rsidRPr="00192224">
        <w:rPr>
          <w:rFonts w:eastAsia="Arial" w:cs="Arial"/>
          <w:color w:val="000000"/>
          <w:szCs w:val="24"/>
        </w:rPr>
        <w:t>Clausura de la casilla.</w:t>
      </w:r>
    </w:p>
    <w:p w14:paraId="54BF5B7E" w14:textId="77777777" w:rsidR="00192224" w:rsidRPr="00192224" w:rsidRDefault="00192224" w:rsidP="00192224">
      <w:pPr>
        <w:numPr>
          <w:ilvl w:val="0"/>
          <w:numId w:val="10"/>
        </w:numPr>
        <w:spacing w:after="0" w:line="276" w:lineRule="auto"/>
        <w:contextualSpacing/>
        <w:jc w:val="left"/>
        <w:rPr>
          <w:rFonts w:eastAsia="Arial" w:cs="Arial"/>
          <w:color w:val="000000"/>
          <w:szCs w:val="24"/>
        </w:rPr>
      </w:pPr>
      <w:r w:rsidRPr="00192224">
        <w:rPr>
          <w:rFonts w:eastAsia="Arial" w:cs="Arial"/>
          <w:color w:val="000000"/>
          <w:szCs w:val="24"/>
        </w:rPr>
        <w:t>Lectura en voz alta de los resultados en el Consejo Distrital.</w:t>
      </w:r>
    </w:p>
    <w:p w14:paraId="4C25DFAB" w14:textId="77777777" w:rsidR="00192224" w:rsidRPr="00192224" w:rsidRDefault="00192224" w:rsidP="00192224">
      <w:pPr>
        <w:numPr>
          <w:ilvl w:val="0"/>
          <w:numId w:val="10"/>
        </w:numPr>
        <w:spacing w:after="0" w:line="276" w:lineRule="auto"/>
        <w:contextualSpacing/>
        <w:jc w:val="left"/>
        <w:rPr>
          <w:rFonts w:eastAsia="Arial" w:cs="Arial"/>
          <w:color w:val="000000"/>
          <w:szCs w:val="24"/>
        </w:rPr>
      </w:pPr>
      <w:r w:rsidRPr="00192224">
        <w:rPr>
          <w:rFonts w:eastAsia="Arial" w:cs="Arial"/>
          <w:color w:val="000000"/>
          <w:szCs w:val="24"/>
        </w:rPr>
        <w:lastRenderedPageBreak/>
        <w:t>Recepción de escritos de incidencias y protesta.</w:t>
      </w:r>
    </w:p>
    <w:p w14:paraId="0F58B68C" w14:textId="77777777" w:rsidR="00865DFD" w:rsidRPr="007C1099" w:rsidRDefault="00865DFD" w:rsidP="00865DFD">
      <w:pPr>
        <w:spacing w:after="0" w:line="276" w:lineRule="auto"/>
        <w:ind w:left="720"/>
        <w:rPr>
          <w:rFonts w:eastAsia="Arial" w:cs="Arial"/>
          <w:color w:val="000000"/>
          <w:szCs w:val="24"/>
        </w:rPr>
      </w:pPr>
    </w:p>
    <w:p w14:paraId="63A55C63" w14:textId="1EFEF827" w:rsidR="00C85EA0" w:rsidRDefault="00242B1E" w:rsidP="0093700C">
      <w:pPr>
        <w:numPr>
          <w:ilvl w:val="0"/>
          <w:numId w:val="2"/>
        </w:numPr>
        <w:spacing w:after="0" w:line="276" w:lineRule="auto"/>
        <w:rPr>
          <w:rFonts w:eastAsia="Arial" w:cs="Arial"/>
          <w:color w:val="000000"/>
          <w:szCs w:val="24"/>
        </w:rPr>
      </w:pPr>
      <w:r>
        <w:rPr>
          <w:rFonts w:eastAsia="Arial" w:cs="Arial"/>
          <w:color w:val="000000"/>
          <w:szCs w:val="24"/>
        </w:rPr>
        <w:t xml:space="preserve">Asimismo, el artículo 186, </w:t>
      </w:r>
      <w:r w:rsidR="0032409F">
        <w:rPr>
          <w:rFonts w:eastAsia="Arial" w:cs="Arial"/>
          <w:color w:val="000000"/>
          <w:szCs w:val="24"/>
        </w:rPr>
        <w:t xml:space="preserve">numeral 3 del RE, precisa que quienes </w:t>
      </w:r>
      <w:r w:rsidR="00A80C0C">
        <w:rPr>
          <w:rFonts w:eastAsia="Arial" w:cs="Arial"/>
          <w:color w:val="000000"/>
          <w:szCs w:val="24"/>
        </w:rPr>
        <w:t xml:space="preserve">cuenten con </w:t>
      </w:r>
      <w:r w:rsidR="00E900C9">
        <w:rPr>
          <w:rFonts w:eastAsia="Arial" w:cs="Arial"/>
          <w:color w:val="000000"/>
          <w:szCs w:val="24"/>
        </w:rPr>
        <w:t xml:space="preserve">la </w:t>
      </w:r>
      <w:r w:rsidR="0032409F">
        <w:rPr>
          <w:rFonts w:eastAsia="Arial" w:cs="Arial"/>
          <w:color w:val="000000"/>
          <w:szCs w:val="24"/>
        </w:rPr>
        <w:t>acredita</w:t>
      </w:r>
      <w:r w:rsidR="00A80C0C">
        <w:rPr>
          <w:rFonts w:eastAsia="Arial" w:cs="Arial"/>
          <w:color w:val="000000"/>
          <w:szCs w:val="24"/>
        </w:rPr>
        <w:t>ción</w:t>
      </w:r>
      <w:r w:rsidR="0032409F">
        <w:rPr>
          <w:rFonts w:eastAsia="Arial" w:cs="Arial"/>
          <w:color w:val="000000"/>
          <w:szCs w:val="24"/>
        </w:rPr>
        <w:t xml:space="preserve"> como personas observadoras </w:t>
      </w:r>
      <w:r w:rsidR="00617296">
        <w:rPr>
          <w:rFonts w:eastAsia="Arial" w:cs="Arial"/>
          <w:color w:val="000000"/>
          <w:szCs w:val="24"/>
        </w:rPr>
        <w:t xml:space="preserve">tendrán derecho a realizar las actividades de observación de los actos de carácter público de preparación </w:t>
      </w:r>
      <w:r w:rsidR="00167547">
        <w:rPr>
          <w:rFonts w:eastAsia="Arial" w:cs="Arial"/>
          <w:color w:val="000000"/>
          <w:szCs w:val="24"/>
        </w:rPr>
        <w:t>y desarrollo</w:t>
      </w:r>
      <w:r w:rsidR="00A63D7D">
        <w:rPr>
          <w:rFonts w:eastAsia="Arial" w:cs="Arial"/>
          <w:color w:val="000000"/>
          <w:szCs w:val="24"/>
        </w:rPr>
        <w:t>, en este caso del proceso de Revocación de Mandato, y sesiones del IEEPCO</w:t>
      </w:r>
      <w:r w:rsidR="005046C2">
        <w:rPr>
          <w:rFonts w:eastAsia="Arial" w:cs="Arial"/>
          <w:color w:val="000000"/>
          <w:szCs w:val="24"/>
        </w:rPr>
        <w:t xml:space="preserve">, en los términos establecidos en la LGIPE. </w:t>
      </w:r>
      <w:r w:rsidR="0032409F">
        <w:rPr>
          <w:rFonts w:eastAsia="Arial" w:cs="Arial"/>
          <w:color w:val="000000"/>
          <w:szCs w:val="24"/>
        </w:rPr>
        <w:t xml:space="preserve"> </w:t>
      </w:r>
    </w:p>
    <w:p w14:paraId="41BD16F9" w14:textId="77777777" w:rsidR="00C30634" w:rsidRDefault="00C30634" w:rsidP="003D6DD2">
      <w:pPr>
        <w:spacing w:after="0" w:line="276" w:lineRule="auto"/>
        <w:rPr>
          <w:rFonts w:eastAsia="Arial" w:cs="Arial"/>
          <w:color w:val="000000"/>
          <w:szCs w:val="24"/>
        </w:rPr>
      </w:pPr>
    </w:p>
    <w:p w14:paraId="501E8888" w14:textId="216F28DE" w:rsidR="00111917" w:rsidRDefault="007B5E0E" w:rsidP="0093700C">
      <w:pPr>
        <w:numPr>
          <w:ilvl w:val="0"/>
          <w:numId w:val="2"/>
        </w:numPr>
        <w:spacing w:after="0" w:line="276" w:lineRule="auto"/>
        <w:rPr>
          <w:rFonts w:eastAsia="Arial" w:cs="Arial"/>
          <w:color w:val="000000"/>
          <w:szCs w:val="24"/>
        </w:rPr>
      </w:pPr>
      <w:r w:rsidRPr="007C1099">
        <w:rPr>
          <w:rFonts w:eastAsia="Arial" w:cs="Arial"/>
          <w:color w:val="000000"/>
          <w:szCs w:val="24"/>
        </w:rPr>
        <w:t xml:space="preserve">De conformidad con el artículo 217, numeral 1, inciso </w:t>
      </w:r>
      <w:r w:rsidR="009F7E48">
        <w:rPr>
          <w:rFonts w:eastAsia="Arial" w:cs="Arial"/>
          <w:color w:val="000000"/>
          <w:szCs w:val="24"/>
        </w:rPr>
        <w:t>e</w:t>
      </w:r>
      <w:r w:rsidRPr="007C1099">
        <w:rPr>
          <w:rFonts w:eastAsia="Arial" w:cs="Arial"/>
          <w:color w:val="000000"/>
          <w:szCs w:val="24"/>
        </w:rPr>
        <w:t>) de la LGIPE</w:t>
      </w:r>
      <w:r>
        <w:rPr>
          <w:rFonts w:eastAsia="Arial" w:cs="Arial"/>
          <w:color w:val="000000"/>
          <w:szCs w:val="24"/>
        </w:rPr>
        <w:t>, l</w:t>
      </w:r>
      <w:r w:rsidR="007C1342">
        <w:rPr>
          <w:rFonts w:eastAsia="Arial" w:cs="Arial"/>
          <w:color w:val="000000"/>
          <w:szCs w:val="24"/>
        </w:rPr>
        <w:t xml:space="preserve">as personas observadoras </w:t>
      </w:r>
      <w:r w:rsidR="001C7DCD">
        <w:rPr>
          <w:rFonts w:eastAsia="Arial" w:cs="Arial"/>
          <w:color w:val="000000"/>
          <w:szCs w:val="24"/>
        </w:rPr>
        <w:t>deberán abstenerse de lo siguiente:</w:t>
      </w:r>
    </w:p>
    <w:p w14:paraId="5242576A" w14:textId="77777777" w:rsidR="00111917" w:rsidRDefault="00111917" w:rsidP="00111917">
      <w:pPr>
        <w:spacing w:after="0" w:line="276" w:lineRule="auto"/>
        <w:ind w:left="720"/>
        <w:rPr>
          <w:rFonts w:eastAsia="Arial" w:cs="Arial"/>
          <w:color w:val="000000"/>
          <w:szCs w:val="24"/>
        </w:rPr>
      </w:pPr>
    </w:p>
    <w:p w14:paraId="3565E3B5" w14:textId="3D65BDA3" w:rsidR="00111917" w:rsidRDefault="00111917" w:rsidP="00111917">
      <w:pPr>
        <w:pStyle w:val="Prrafodelista"/>
        <w:numPr>
          <w:ilvl w:val="0"/>
          <w:numId w:val="12"/>
        </w:numPr>
        <w:spacing w:after="0" w:line="276" w:lineRule="auto"/>
        <w:ind w:left="1418"/>
        <w:rPr>
          <w:rFonts w:eastAsia="Arial" w:cs="Arial"/>
          <w:color w:val="000000"/>
          <w:szCs w:val="24"/>
        </w:rPr>
      </w:pPr>
      <w:r w:rsidRPr="009C0894">
        <w:rPr>
          <w:rFonts w:eastAsia="Arial" w:cs="Arial"/>
          <w:color w:val="000000"/>
          <w:szCs w:val="24"/>
        </w:rPr>
        <w:t>Sustituir u obstaculizar a las autoridades electorales en el ejercicio de sus funciones, e</w:t>
      </w:r>
      <w:r>
        <w:rPr>
          <w:rFonts w:eastAsia="Arial" w:cs="Arial"/>
          <w:color w:val="000000"/>
          <w:szCs w:val="24"/>
        </w:rPr>
        <w:t xml:space="preserve"> </w:t>
      </w:r>
      <w:r w:rsidRPr="009C0894">
        <w:rPr>
          <w:rFonts w:eastAsia="Arial" w:cs="Arial"/>
          <w:color w:val="000000"/>
          <w:szCs w:val="24"/>
        </w:rPr>
        <w:t>interferir en el desarrollo de las mismas</w:t>
      </w:r>
      <w:r w:rsidR="00596E26">
        <w:rPr>
          <w:rFonts w:eastAsia="Arial" w:cs="Arial"/>
          <w:color w:val="000000"/>
          <w:szCs w:val="24"/>
        </w:rPr>
        <w:t>.</w:t>
      </w:r>
    </w:p>
    <w:p w14:paraId="20DD788A" w14:textId="0328EE42" w:rsidR="00111917" w:rsidRDefault="00111917" w:rsidP="00111917">
      <w:pPr>
        <w:pStyle w:val="Prrafodelista"/>
        <w:numPr>
          <w:ilvl w:val="0"/>
          <w:numId w:val="12"/>
        </w:numPr>
        <w:spacing w:after="0" w:line="276" w:lineRule="auto"/>
        <w:ind w:left="1418"/>
        <w:rPr>
          <w:rFonts w:eastAsia="Arial" w:cs="Arial"/>
          <w:color w:val="000000"/>
          <w:szCs w:val="24"/>
        </w:rPr>
      </w:pPr>
      <w:r w:rsidRPr="009C0894">
        <w:rPr>
          <w:rFonts w:eastAsia="Arial" w:cs="Arial"/>
          <w:color w:val="000000"/>
          <w:szCs w:val="24"/>
        </w:rPr>
        <w:t>Hacer proselitismo de cualquier tipo o manifestarse en favor</w:t>
      </w:r>
      <w:r>
        <w:rPr>
          <w:rFonts w:eastAsia="Arial" w:cs="Arial"/>
          <w:color w:val="000000"/>
          <w:szCs w:val="24"/>
        </w:rPr>
        <w:t xml:space="preserve"> alguna de las dos posturas que forman parte de la Revocación de Mandato</w:t>
      </w:r>
      <w:r w:rsidR="00596E26">
        <w:rPr>
          <w:rFonts w:eastAsia="Arial" w:cs="Arial"/>
          <w:color w:val="000000"/>
          <w:szCs w:val="24"/>
        </w:rPr>
        <w:t>.</w:t>
      </w:r>
    </w:p>
    <w:p w14:paraId="6B65FB2E" w14:textId="170CB279" w:rsidR="00111917" w:rsidRDefault="00111917" w:rsidP="00111917">
      <w:pPr>
        <w:pStyle w:val="Prrafodelista"/>
        <w:numPr>
          <w:ilvl w:val="0"/>
          <w:numId w:val="12"/>
        </w:numPr>
        <w:spacing w:after="0" w:line="276" w:lineRule="auto"/>
        <w:ind w:left="1418"/>
        <w:rPr>
          <w:rFonts w:eastAsia="Arial" w:cs="Arial"/>
          <w:color w:val="000000"/>
          <w:szCs w:val="24"/>
        </w:rPr>
      </w:pPr>
      <w:r w:rsidRPr="009C0894">
        <w:rPr>
          <w:rFonts w:eastAsia="Arial" w:cs="Arial"/>
          <w:color w:val="000000"/>
          <w:szCs w:val="24"/>
        </w:rPr>
        <w:t>Externar cualquier expresión de ofensa, difamación o calumnia en contra de las instituciones,</w:t>
      </w:r>
      <w:r>
        <w:rPr>
          <w:rFonts w:eastAsia="Arial" w:cs="Arial"/>
          <w:color w:val="000000"/>
          <w:szCs w:val="24"/>
        </w:rPr>
        <w:t xml:space="preserve"> </w:t>
      </w:r>
      <w:r w:rsidRPr="009C0894">
        <w:rPr>
          <w:rFonts w:eastAsia="Arial" w:cs="Arial"/>
          <w:color w:val="000000"/>
          <w:szCs w:val="24"/>
        </w:rPr>
        <w:t>autoridades electorales, partidos políticos y</w:t>
      </w:r>
      <w:r w:rsidR="006E66C6">
        <w:rPr>
          <w:rFonts w:eastAsia="Arial" w:cs="Arial"/>
          <w:color w:val="000000"/>
          <w:szCs w:val="24"/>
        </w:rPr>
        <w:t>,</w:t>
      </w:r>
    </w:p>
    <w:p w14:paraId="6831F2FC" w14:textId="54491DDC" w:rsidR="003D6DD2" w:rsidRPr="003D6DD2" w:rsidRDefault="00111917" w:rsidP="003D6DD2">
      <w:pPr>
        <w:pStyle w:val="Prrafodelista"/>
        <w:numPr>
          <w:ilvl w:val="0"/>
          <w:numId w:val="12"/>
        </w:numPr>
        <w:spacing w:after="0" w:line="276" w:lineRule="auto"/>
        <w:ind w:left="1418"/>
        <w:rPr>
          <w:rFonts w:eastAsia="Arial" w:cs="Arial"/>
          <w:color w:val="000000"/>
          <w:szCs w:val="24"/>
        </w:rPr>
      </w:pPr>
      <w:r w:rsidRPr="009C0894">
        <w:rPr>
          <w:rFonts w:eastAsia="Arial" w:cs="Arial"/>
          <w:color w:val="000000"/>
          <w:szCs w:val="24"/>
        </w:rPr>
        <w:t xml:space="preserve">Declarar </w:t>
      </w:r>
      <w:r>
        <w:rPr>
          <w:rFonts w:eastAsia="Arial" w:cs="Arial"/>
          <w:color w:val="000000"/>
          <w:szCs w:val="24"/>
        </w:rPr>
        <w:t>sobre los resultados del proceso de Revocación de Mandato</w:t>
      </w:r>
      <w:r w:rsidR="00BC0AF5">
        <w:rPr>
          <w:rFonts w:eastAsia="Arial" w:cs="Arial"/>
          <w:color w:val="000000"/>
          <w:szCs w:val="24"/>
        </w:rPr>
        <w:t>.</w:t>
      </w:r>
    </w:p>
    <w:p w14:paraId="23680DA1" w14:textId="77777777" w:rsidR="00111917" w:rsidRDefault="00111917" w:rsidP="00111917">
      <w:pPr>
        <w:spacing w:after="0" w:line="276" w:lineRule="auto"/>
        <w:rPr>
          <w:rFonts w:eastAsia="Arial" w:cs="Arial"/>
          <w:color w:val="000000"/>
          <w:szCs w:val="24"/>
        </w:rPr>
      </w:pPr>
    </w:p>
    <w:p w14:paraId="1E48C501" w14:textId="0DB2FC1A" w:rsidR="009952EF" w:rsidRDefault="003D6DD2" w:rsidP="009952EF">
      <w:pPr>
        <w:numPr>
          <w:ilvl w:val="0"/>
          <w:numId w:val="2"/>
        </w:numPr>
        <w:spacing w:after="0" w:line="276" w:lineRule="auto"/>
        <w:rPr>
          <w:rFonts w:eastAsia="Arial" w:cs="Arial"/>
          <w:color w:val="000000"/>
          <w:szCs w:val="24"/>
        </w:rPr>
      </w:pPr>
      <w:r w:rsidRPr="009952EF">
        <w:rPr>
          <w:rFonts w:eastAsia="Arial" w:cs="Arial"/>
          <w:color w:val="000000"/>
          <w:szCs w:val="24"/>
        </w:rPr>
        <w:t>En ese sentido, el artículo 516</w:t>
      </w:r>
      <w:r w:rsidR="009952EF" w:rsidRPr="009952EF">
        <w:rPr>
          <w:rFonts w:eastAsia="Arial" w:cs="Arial"/>
          <w:color w:val="000000"/>
          <w:szCs w:val="24"/>
        </w:rPr>
        <w:t>, numeral 2</w:t>
      </w:r>
      <w:r w:rsidRPr="009952EF">
        <w:rPr>
          <w:rFonts w:eastAsia="Arial" w:cs="Arial"/>
          <w:color w:val="000000"/>
          <w:szCs w:val="24"/>
        </w:rPr>
        <w:t xml:space="preserve"> de la LGIPE, </w:t>
      </w:r>
      <w:r w:rsidR="009952EF">
        <w:rPr>
          <w:rFonts w:eastAsia="Arial" w:cs="Arial"/>
          <w:color w:val="000000"/>
          <w:szCs w:val="24"/>
        </w:rPr>
        <w:t>establece que l</w:t>
      </w:r>
      <w:r w:rsidR="009952EF" w:rsidRPr="009952EF">
        <w:rPr>
          <w:rFonts w:eastAsia="Arial" w:cs="Arial"/>
          <w:color w:val="000000"/>
          <w:szCs w:val="24"/>
        </w:rPr>
        <w:t>as personas observadoras acreditadas deberán conducirse conforme a los principios de</w:t>
      </w:r>
      <w:r w:rsidR="009952EF">
        <w:rPr>
          <w:rFonts w:eastAsia="Arial" w:cs="Arial"/>
          <w:color w:val="000000"/>
          <w:szCs w:val="24"/>
        </w:rPr>
        <w:t xml:space="preserve"> </w:t>
      </w:r>
      <w:r w:rsidR="009952EF" w:rsidRPr="008872A8">
        <w:rPr>
          <w:rFonts w:eastAsia="Arial" w:cs="Arial"/>
          <w:color w:val="000000"/>
          <w:szCs w:val="24"/>
        </w:rPr>
        <w:t>imparcialidad, objetividad, certeza y legalidad. Podrán participar como personas observadoras las personas físicas o agrupaciones acreditadas ante el Instituto.</w:t>
      </w:r>
    </w:p>
    <w:p w14:paraId="3E703E1E" w14:textId="77777777" w:rsidR="007C798F" w:rsidRDefault="007C798F" w:rsidP="007C798F">
      <w:pPr>
        <w:spacing w:after="0" w:line="276" w:lineRule="auto"/>
        <w:ind w:left="720"/>
        <w:rPr>
          <w:rFonts w:eastAsia="Arial" w:cs="Arial"/>
          <w:color w:val="000000"/>
          <w:szCs w:val="24"/>
        </w:rPr>
      </w:pPr>
    </w:p>
    <w:p w14:paraId="2DF37CDB" w14:textId="68C9C138" w:rsidR="00B96B29" w:rsidRDefault="007C798F" w:rsidP="00B96B29">
      <w:pPr>
        <w:numPr>
          <w:ilvl w:val="0"/>
          <w:numId w:val="2"/>
        </w:numPr>
        <w:spacing w:after="0" w:line="276" w:lineRule="auto"/>
        <w:rPr>
          <w:rFonts w:eastAsia="Arial" w:cs="Arial"/>
          <w:color w:val="000000"/>
          <w:szCs w:val="24"/>
        </w:rPr>
      </w:pPr>
      <w:r w:rsidRPr="008313A0">
        <w:rPr>
          <w:szCs w:val="24"/>
        </w:rPr>
        <w:t>El artículo 516, numeral 3 de la LGIPE precisa que las organizaciones a las que pertenezcan las personas observadoras acreditadas serán responsables de supervisar las actividades que realicen, así como del cumplimiento de los requisitos y obligaciones que establece esa ley. Las organizaciones que tengan conocimiento de alguna falta, omisión o irregularidad de una de sus personas observadoras en el desarrollo de sus funciones deberán solicitar al Instituto el retiro de su acreditación. La falta de supervisión imputable a la organización respectiva será causa para que se niegue o retire la acreditación a la organización participante.</w:t>
      </w:r>
    </w:p>
    <w:p w14:paraId="57908A6F" w14:textId="77777777" w:rsidR="00042D2F" w:rsidRPr="00042D2F" w:rsidRDefault="00042D2F" w:rsidP="00042D2F">
      <w:pPr>
        <w:spacing w:after="0" w:line="276" w:lineRule="auto"/>
        <w:ind w:left="720"/>
        <w:rPr>
          <w:rFonts w:eastAsia="Arial" w:cs="Arial"/>
          <w:color w:val="000000"/>
          <w:szCs w:val="24"/>
        </w:rPr>
      </w:pPr>
    </w:p>
    <w:p w14:paraId="7109AFE7" w14:textId="77777777" w:rsidR="00B96B29" w:rsidRPr="00285145" w:rsidRDefault="00B96B29" w:rsidP="00B96B29">
      <w:pPr>
        <w:spacing w:after="0" w:line="276" w:lineRule="auto"/>
        <w:rPr>
          <w:rFonts w:cs="Arial"/>
          <w:b/>
          <w:bCs/>
          <w:szCs w:val="24"/>
        </w:rPr>
      </w:pPr>
      <w:r>
        <w:rPr>
          <w:rFonts w:eastAsia="Arial" w:cs="Arial"/>
          <w:b/>
          <w:bCs/>
          <w:color w:val="000000"/>
          <w:szCs w:val="24"/>
        </w:rPr>
        <w:t>Cuarto</w:t>
      </w:r>
      <w:r w:rsidRPr="00285145">
        <w:rPr>
          <w:rFonts w:eastAsia="Arial" w:cs="Arial"/>
          <w:b/>
          <w:bCs/>
          <w:color w:val="000000"/>
          <w:szCs w:val="24"/>
        </w:rPr>
        <w:t xml:space="preserve">. </w:t>
      </w:r>
      <w:r w:rsidRPr="00285145">
        <w:rPr>
          <w:rFonts w:cs="Arial"/>
          <w:b/>
          <w:bCs/>
          <w:szCs w:val="24"/>
        </w:rPr>
        <w:t xml:space="preserve">De los Lineamientos. </w:t>
      </w:r>
    </w:p>
    <w:p w14:paraId="0071EF3C" w14:textId="77777777" w:rsidR="00B96B29" w:rsidRDefault="00B96B29" w:rsidP="00B96B29">
      <w:pPr>
        <w:spacing w:after="0" w:line="276" w:lineRule="auto"/>
        <w:ind w:left="720"/>
        <w:rPr>
          <w:rFonts w:eastAsia="Arial" w:cs="Arial"/>
          <w:color w:val="000000"/>
          <w:szCs w:val="24"/>
        </w:rPr>
      </w:pPr>
    </w:p>
    <w:p w14:paraId="5963ED34" w14:textId="5FA43C0F" w:rsidR="00C3027E" w:rsidRPr="00964FDF" w:rsidRDefault="003C078A" w:rsidP="00964FDF">
      <w:pPr>
        <w:numPr>
          <w:ilvl w:val="0"/>
          <w:numId w:val="2"/>
        </w:numPr>
        <w:spacing w:after="0" w:line="276" w:lineRule="auto"/>
        <w:rPr>
          <w:rFonts w:eastAsia="Arial" w:cs="Arial"/>
          <w:color w:val="000000"/>
          <w:szCs w:val="24"/>
        </w:rPr>
      </w:pPr>
      <w:r>
        <w:t>A juicio de e</w:t>
      </w:r>
      <w:r w:rsidR="00CE11DF">
        <w:t xml:space="preserve">ste Consejo General, en </w:t>
      </w:r>
      <w:r>
        <w:t xml:space="preserve">ejercicio </w:t>
      </w:r>
      <w:r w:rsidR="00CE11DF">
        <w:t xml:space="preserve">de su </w:t>
      </w:r>
      <w:r w:rsidR="00D74D2C">
        <w:t>facultad reglamentaria</w:t>
      </w:r>
      <w:r w:rsidR="00CE11DF">
        <w:t xml:space="preserve"> sustentada</w:t>
      </w:r>
      <w:r>
        <w:t xml:space="preserve"> en los </w:t>
      </w:r>
      <w:r w:rsidR="009A22A3">
        <w:t>preceptos descritos</w:t>
      </w:r>
      <w:r>
        <w:t xml:space="preserve"> en el apartado Primero de este acuerdo, </w:t>
      </w:r>
      <w:r w:rsidR="00D74D2C" w:rsidRPr="00650E2B">
        <w:t xml:space="preserve">resultan necesarios </w:t>
      </w:r>
      <w:r w:rsidR="009A22A3">
        <w:t xml:space="preserve">emitir </w:t>
      </w:r>
      <w:r w:rsidR="00CE6185">
        <w:t xml:space="preserve">los </w:t>
      </w:r>
      <w:r w:rsidR="00964FDF" w:rsidRPr="00E040AC">
        <w:rPr>
          <w:rFonts w:cs="Arial"/>
          <w:b/>
          <w:bCs/>
          <w:szCs w:val="24"/>
        </w:rPr>
        <w:t xml:space="preserve">Lineamientos para la implementación de la observación durante el proceso de </w:t>
      </w:r>
      <w:r w:rsidR="00CE6185">
        <w:rPr>
          <w:rFonts w:cs="Arial"/>
          <w:b/>
          <w:bCs/>
          <w:szCs w:val="24"/>
        </w:rPr>
        <w:t>R</w:t>
      </w:r>
      <w:r w:rsidR="00964FDF" w:rsidRPr="00E040AC">
        <w:rPr>
          <w:rFonts w:cs="Arial"/>
          <w:b/>
          <w:bCs/>
          <w:szCs w:val="24"/>
        </w:rPr>
        <w:t xml:space="preserve">evocación de </w:t>
      </w:r>
      <w:r w:rsidR="00CE6185">
        <w:rPr>
          <w:rFonts w:cs="Arial"/>
          <w:b/>
          <w:bCs/>
          <w:szCs w:val="24"/>
        </w:rPr>
        <w:lastRenderedPageBreak/>
        <w:t>M</w:t>
      </w:r>
      <w:r w:rsidR="00964FDF" w:rsidRPr="00E040AC">
        <w:rPr>
          <w:rFonts w:cs="Arial"/>
          <w:b/>
          <w:bCs/>
          <w:szCs w:val="24"/>
        </w:rPr>
        <w:t>andato de la persona titular de la gubernatura del estado de Oaxaca, para el periodo constitucional 2022-2028</w:t>
      </w:r>
      <w:r w:rsidR="00964FDF" w:rsidRPr="00964FDF">
        <w:rPr>
          <w:rFonts w:cs="Arial"/>
          <w:szCs w:val="24"/>
        </w:rPr>
        <w:t>,</w:t>
      </w:r>
      <w:r w:rsidR="00E040AC">
        <w:rPr>
          <w:rFonts w:cs="Arial"/>
          <w:szCs w:val="24"/>
        </w:rPr>
        <w:t xml:space="preserve"> </w:t>
      </w:r>
      <w:r w:rsidR="00D74D2C" w:rsidRPr="00650E2B">
        <w:t xml:space="preserve">al tratarse de la </w:t>
      </w:r>
      <w:r w:rsidR="00D74D2C" w:rsidRPr="00650E2B">
        <w:rPr>
          <w:rStyle w:val="Textoennegrita"/>
        </w:rPr>
        <w:t>primera implementación</w:t>
      </w:r>
      <w:r w:rsidR="00D74D2C" w:rsidRPr="00650E2B">
        <w:t xml:space="preserve"> del proceso de observación</w:t>
      </w:r>
      <w:r w:rsidR="00272F4B" w:rsidRPr="00650E2B">
        <w:t xml:space="preserve"> </w:t>
      </w:r>
      <w:r w:rsidR="00D74D2C" w:rsidRPr="00650E2B">
        <w:t xml:space="preserve">en </w:t>
      </w:r>
      <w:r w:rsidRPr="00650E2B">
        <w:t xml:space="preserve">un mecanismo de participación ciudadana en el ámbito local, en este caso </w:t>
      </w:r>
      <w:r w:rsidR="00D74D2C" w:rsidRPr="00650E2B">
        <w:t>de Revocación de Mandato, lo cual exige dotar de certeza, uniformidad, claridad y seguridad jurídica a la ciudadanía interesada en participar como observadoras.</w:t>
      </w:r>
    </w:p>
    <w:p w14:paraId="557A2AB4" w14:textId="77777777" w:rsidR="004E58F2" w:rsidRPr="00650E2B" w:rsidRDefault="004E58F2" w:rsidP="00B14C19">
      <w:pPr>
        <w:spacing w:after="0" w:line="276" w:lineRule="auto"/>
        <w:rPr>
          <w:rFonts w:eastAsia="Arial" w:cs="Arial"/>
          <w:color w:val="000000"/>
          <w:szCs w:val="24"/>
        </w:rPr>
      </w:pPr>
    </w:p>
    <w:p w14:paraId="649B921A" w14:textId="5204ED4C" w:rsidR="0031294D" w:rsidRDefault="005C76AA" w:rsidP="0031294D">
      <w:pPr>
        <w:numPr>
          <w:ilvl w:val="0"/>
          <w:numId w:val="2"/>
        </w:numPr>
        <w:spacing w:after="0" w:line="276" w:lineRule="auto"/>
        <w:rPr>
          <w:rFonts w:eastAsia="Arial" w:cs="Arial"/>
          <w:color w:val="000000"/>
          <w:szCs w:val="24"/>
        </w:rPr>
      </w:pPr>
      <w:r w:rsidRPr="00650E2B">
        <w:rPr>
          <w:rFonts w:eastAsia="Arial" w:cs="Arial"/>
          <w:color w:val="000000"/>
          <w:szCs w:val="24"/>
        </w:rPr>
        <w:t xml:space="preserve">En ese sentido, </w:t>
      </w:r>
      <w:r w:rsidR="00CE6185">
        <w:rPr>
          <w:rFonts w:eastAsia="Arial" w:cs="Arial"/>
          <w:color w:val="000000"/>
          <w:szCs w:val="24"/>
        </w:rPr>
        <w:t>estos</w:t>
      </w:r>
      <w:r w:rsidR="006263AE">
        <w:rPr>
          <w:rFonts w:eastAsia="Arial" w:cs="Arial"/>
          <w:color w:val="000000"/>
          <w:szCs w:val="24"/>
        </w:rPr>
        <w:t xml:space="preserve"> </w:t>
      </w:r>
      <w:r w:rsidRPr="00650E2B">
        <w:rPr>
          <w:rFonts w:eastAsia="Arial" w:cs="Arial"/>
          <w:color w:val="000000"/>
          <w:szCs w:val="24"/>
        </w:rPr>
        <w:t>Lineamientos</w:t>
      </w:r>
      <w:r w:rsidR="006263AE">
        <w:rPr>
          <w:rFonts w:eastAsia="Arial" w:cs="Arial"/>
          <w:color w:val="000000"/>
          <w:szCs w:val="24"/>
        </w:rPr>
        <w:t xml:space="preserve"> </w:t>
      </w:r>
      <w:r w:rsidR="006A4345">
        <w:rPr>
          <w:rFonts w:eastAsia="Arial" w:cs="Arial"/>
          <w:color w:val="000000"/>
          <w:szCs w:val="24"/>
        </w:rPr>
        <w:t xml:space="preserve">son de orden público, de observancia general en el ámbito estatal y obligatorio para la implementación de la observación durante </w:t>
      </w:r>
      <w:r w:rsidR="006A4345" w:rsidRPr="00D62C43">
        <w:rPr>
          <w:rFonts w:eastAsia="Arial" w:cs="Arial"/>
          <w:color w:val="000000"/>
          <w:szCs w:val="24"/>
        </w:rPr>
        <w:t xml:space="preserve">el proceso de </w:t>
      </w:r>
      <w:r w:rsidR="00CE6185">
        <w:rPr>
          <w:rFonts w:eastAsia="Arial" w:cs="Arial"/>
          <w:color w:val="000000"/>
          <w:szCs w:val="24"/>
        </w:rPr>
        <w:t>R</w:t>
      </w:r>
      <w:r w:rsidR="006A4345" w:rsidRPr="00D62C43">
        <w:rPr>
          <w:rFonts w:eastAsia="Arial" w:cs="Arial"/>
          <w:color w:val="000000"/>
          <w:szCs w:val="24"/>
        </w:rPr>
        <w:t xml:space="preserve">evocación de </w:t>
      </w:r>
      <w:r w:rsidR="00CE6185">
        <w:rPr>
          <w:rFonts w:eastAsia="Arial" w:cs="Arial"/>
          <w:color w:val="000000"/>
          <w:szCs w:val="24"/>
        </w:rPr>
        <w:t>M</w:t>
      </w:r>
      <w:r w:rsidR="006A4345" w:rsidRPr="00D62C43">
        <w:rPr>
          <w:rFonts w:eastAsia="Arial" w:cs="Arial"/>
          <w:color w:val="000000"/>
          <w:szCs w:val="24"/>
        </w:rPr>
        <w:t>andato de la persona titular de la gubernatura del estado de Oaxaca, para el periodo constitucional 2022-2028</w:t>
      </w:r>
      <w:r w:rsidR="00B14C19">
        <w:rPr>
          <w:rFonts w:eastAsia="Arial" w:cs="Arial"/>
          <w:color w:val="000000"/>
          <w:szCs w:val="24"/>
        </w:rPr>
        <w:t xml:space="preserve">. </w:t>
      </w:r>
    </w:p>
    <w:p w14:paraId="35EC4ADF" w14:textId="77777777" w:rsidR="0031294D" w:rsidRDefault="0031294D" w:rsidP="0031294D">
      <w:pPr>
        <w:spacing w:after="0" w:line="276" w:lineRule="auto"/>
        <w:ind w:left="720"/>
        <w:rPr>
          <w:rFonts w:eastAsia="Arial" w:cs="Arial"/>
          <w:color w:val="000000"/>
          <w:szCs w:val="24"/>
        </w:rPr>
      </w:pPr>
    </w:p>
    <w:p w14:paraId="08788910" w14:textId="15E76E03" w:rsidR="0031294D" w:rsidRDefault="0031294D" w:rsidP="0031294D">
      <w:pPr>
        <w:spacing w:after="0" w:line="276" w:lineRule="auto"/>
        <w:ind w:left="720"/>
        <w:rPr>
          <w:rFonts w:eastAsia="Arial" w:cs="Arial"/>
          <w:color w:val="000000"/>
          <w:szCs w:val="24"/>
        </w:rPr>
      </w:pPr>
      <w:r w:rsidRPr="0031294D">
        <w:rPr>
          <w:rFonts w:eastAsia="Arial" w:cs="Arial"/>
          <w:color w:val="000000"/>
          <w:szCs w:val="24"/>
        </w:rPr>
        <w:t>Los Lineamientos se implementarán observando los principios de igualdad, inclusión, no discriminación</w:t>
      </w:r>
      <w:r w:rsidR="00FD74A2">
        <w:rPr>
          <w:rFonts w:eastAsia="Arial" w:cs="Arial"/>
          <w:color w:val="000000"/>
          <w:szCs w:val="24"/>
        </w:rPr>
        <w:t xml:space="preserve"> e</w:t>
      </w:r>
      <w:r w:rsidRPr="0031294D">
        <w:rPr>
          <w:rFonts w:eastAsia="Arial" w:cs="Arial"/>
          <w:color w:val="000000"/>
          <w:szCs w:val="24"/>
        </w:rPr>
        <w:t xml:space="preserve"> interculturalidad, de manera que el Instituto respete, proteja y garantice el ejercicio pleno de la prerrogativa de la ciudadanía</w:t>
      </w:r>
      <w:r w:rsidR="00D804EA">
        <w:rPr>
          <w:rFonts w:eastAsia="Arial" w:cs="Arial"/>
          <w:color w:val="000000"/>
          <w:szCs w:val="24"/>
        </w:rPr>
        <w:t xml:space="preserve">, en su diversidad, </w:t>
      </w:r>
      <w:r w:rsidRPr="0031294D">
        <w:rPr>
          <w:rFonts w:eastAsia="Arial" w:cs="Arial"/>
          <w:color w:val="000000"/>
          <w:szCs w:val="24"/>
        </w:rPr>
        <w:t>para realizar actividades de observación durante el proceso de Revocación de Mandato.</w:t>
      </w:r>
    </w:p>
    <w:p w14:paraId="19517DED" w14:textId="77777777" w:rsidR="00C726A8" w:rsidRDefault="00C726A8" w:rsidP="0031294D">
      <w:pPr>
        <w:spacing w:after="0" w:line="276" w:lineRule="auto"/>
        <w:ind w:left="720"/>
        <w:rPr>
          <w:rFonts w:eastAsia="Arial" w:cs="Arial"/>
          <w:color w:val="000000"/>
          <w:szCs w:val="24"/>
        </w:rPr>
      </w:pPr>
    </w:p>
    <w:p w14:paraId="196DC0F3" w14:textId="06EB30A6" w:rsidR="00C726A8" w:rsidRPr="00C726A8" w:rsidRDefault="00C726A8" w:rsidP="00C726A8">
      <w:pPr>
        <w:spacing w:after="0" w:line="276" w:lineRule="auto"/>
        <w:ind w:left="720"/>
        <w:rPr>
          <w:rFonts w:eastAsia="Arial" w:cs="Arial"/>
          <w:color w:val="000000"/>
          <w:szCs w:val="24"/>
        </w:rPr>
      </w:pPr>
      <w:r>
        <w:rPr>
          <w:rFonts w:eastAsia="Arial" w:cs="Arial"/>
          <w:color w:val="000000"/>
          <w:szCs w:val="24"/>
        </w:rPr>
        <w:t xml:space="preserve">Asimismo, </w:t>
      </w:r>
      <w:r w:rsidR="00BC0AF5">
        <w:rPr>
          <w:rFonts w:eastAsia="Arial" w:cs="Arial"/>
          <w:color w:val="000000"/>
          <w:szCs w:val="24"/>
        </w:rPr>
        <w:t>l</w:t>
      </w:r>
      <w:r w:rsidRPr="00C726A8">
        <w:rPr>
          <w:rFonts w:eastAsia="Arial" w:cs="Arial"/>
          <w:color w:val="000000"/>
          <w:szCs w:val="24"/>
        </w:rPr>
        <w:t>as etapas de la observación se regirán por un enfoque transversal de derechos humanos. El IEEPCO y el funcionariado electoral deberán observar lo siguiente en los actos de autoridad que realicen:</w:t>
      </w:r>
    </w:p>
    <w:p w14:paraId="22DA1A2D" w14:textId="77777777" w:rsidR="00C726A8" w:rsidRDefault="00C726A8" w:rsidP="00C726A8">
      <w:pPr>
        <w:spacing w:after="0" w:line="276" w:lineRule="auto"/>
        <w:ind w:left="720"/>
        <w:rPr>
          <w:rFonts w:eastAsia="Arial" w:cs="Arial"/>
          <w:color w:val="000000"/>
          <w:szCs w:val="24"/>
        </w:rPr>
      </w:pPr>
    </w:p>
    <w:p w14:paraId="541987AE" w14:textId="77777777" w:rsidR="00C726A8" w:rsidRDefault="00C726A8" w:rsidP="00C726A8">
      <w:pPr>
        <w:pStyle w:val="Prrafodelista"/>
        <w:numPr>
          <w:ilvl w:val="0"/>
          <w:numId w:val="40"/>
        </w:numPr>
        <w:spacing w:after="0" w:line="276" w:lineRule="auto"/>
        <w:rPr>
          <w:rFonts w:eastAsia="Arial" w:cs="Arial"/>
          <w:color w:val="000000"/>
          <w:szCs w:val="24"/>
        </w:rPr>
      </w:pPr>
      <w:r w:rsidRPr="00C726A8">
        <w:rPr>
          <w:rFonts w:eastAsia="Arial" w:cs="Arial"/>
          <w:color w:val="000000"/>
          <w:szCs w:val="24"/>
        </w:rPr>
        <w:t>Reconocer y respetar la identidad de género autopercibida, incluyendo el uso de nombre elegido, pronombres y trato digno de las personas trans.</w:t>
      </w:r>
    </w:p>
    <w:p w14:paraId="72C145CD" w14:textId="5C73EE63" w:rsidR="00C726A8" w:rsidRPr="00650E2B" w:rsidRDefault="00C726A8" w:rsidP="00C726A8">
      <w:pPr>
        <w:pStyle w:val="Prrafodelista"/>
        <w:numPr>
          <w:ilvl w:val="0"/>
          <w:numId w:val="40"/>
        </w:numPr>
        <w:spacing w:after="0" w:line="276" w:lineRule="auto"/>
        <w:rPr>
          <w:rFonts w:eastAsia="Arial" w:cs="Arial"/>
          <w:szCs w:val="24"/>
        </w:rPr>
      </w:pPr>
      <w:bookmarkStart w:id="4" w:name="_Hlk216353935"/>
      <w:r w:rsidRPr="00650E2B">
        <w:rPr>
          <w:rFonts w:eastAsia="Arial" w:cs="Arial"/>
          <w:szCs w:val="24"/>
        </w:rPr>
        <w:t>Aplicar las perspectivas transversales de género, interculturalidad, diversidad sexual, e interseccionalidad.</w:t>
      </w:r>
    </w:p>
    <w:bookmarkEnd w:id="4"/>
    <w:p w14:paraId="088B4920" w14:textId="77777777" w:rsidR="0031294D" w:rsidRDefault="0031294D" w:rsidP="0031294D">
      <w:pPr>
        <w:spacing w:after="0" w:line="276" w:lineRule="auto"/>
        <w:rPr>
          <w:rFonts w:eastAsia="Arial" w:cs="Arial"/>
          <w:color w:val="000000"/>
          <w:szCs w:val="24"/>
        </w:rPr>
      </w:pPr>
    </w:p>
    <w:p w14:paraId="0D448B91" w14:textId="07B60429" w:rsidR="0031294D" w:rsidRDefault="0031294D" w:rsidP="00493705">
      <w:pPr>
        <w:spacing w:after="0" w:line="276" w:lineRule="auto"/>
        <w:ind w:left="720"/>
        <w:rPr>
          <w:rFonts w:eastAsia="Arial" w:cs="Arial"/>
          <w:color w:val="000000"/>
          <w:szCs w:val="24"/>
        </w:rPr>
      </w:pPr>
      <w:r w:rsidRPr="0031294D">
        <w:rPr>
          <w:rFonts w:eastAsia="Arial" w:cs="Arial"/>
          <w:color w:val="000000"/>
          <w:szCs w:val="24"/>
        </w:rPr>
        <w:t xml:space="preserve">Finalmente, los Lineamientos tienen por finalidad regular la actividad operativa, procedimental y administrativa en materia de observación dentro del IEEPCO, con estricto apego a la Constitución </w:t>
      </w:r>
      <w:r w:rsidR="003C078A">
        <w:rPr>
          <w:rFonts w:eastAsia="Arial" w:cs="Arial"/>
          <w:color w:val="000000"/>
          <w:szCs w:val="24"/>
        </w:rPr>
        <w:t>Federal</w:t>
      </w:r>
      <w:r w:rsidRPr="0031294D">
        <w:rPr>
          <w:rFonts w:eastAsia="Arial" w:cs="Arial"/>
          <w:color w:val="000000"/>
          <w:szCs w:val="24"/>
        </w:rPr>
        <w:t xml:space="preserve">, la Constitución </w:t>
      </w:r>
      <w:r w:rsidR="003C078A">
        <w:rPr>
          <w:rFonts w:eastAsia="Arial" w:cs="Arial"/>
          <w:color w:val="000000"/>
          <w:szCs w:val="24"/>
        </w:rPr>
        <w:t>Local</w:t>
      </w:r>
      <w:r w:rsidRPr="0031294D">
        <w:rPr>
          <w:rFonts w:eastAsia="Arial" w:cs="Arial"/>
          <w:color w:val="000000"/>
          <w:szCs w:val="24"/>
        </w:rPr>
        <w:t xml:space="preserve">, la </w:t>
      </w:r>
      <w:r w:rsidR="003C078A">
        <w:rPr>
          <w:rFonts w:eastAsia="Arial" w:cs="Arial"/>
          <w:color w:val="000000"/>
          <w:szCs w:val="24"/>
        </w:rPr>
        <w:t>LGIPE</w:t>
      </w:r>
      <w:r w:rsidRPr="0031294D">
        <w:rPr>
          <w:rFonts w:eastAsia="Arial" w:cs="Arial"/>
          <w:color w:val="000000"/>
          <w:szCs w:val="24"/>
        </w:rPr>
        <w:t xml:space="preserve">, el Reglamento de Elecciones, la </w:t>
      </w:r>
      <w:r w:rsidR="003C078A">
        <w:rPr>
          <w:rFonts w:eastAsia="Arial" w:cs="Arial"/>
          <w:color w:val="000000"/>
          <w:szCs w:val="24"/>
        </w:rPr>
        <w:t>LIPEEO</w:t>
      </w:r>
      <w:r w:rsidRPr="0031294D">
        <w:rPr>
          <w:rFonts w:eastAsia="Arial" w:cs="Arial"/>
          <w:color w:val="000000"/>
          <w:szCs w:val="24"/>
        </w:rPr>
        <w:t>, y la Ley de Revocación de Mandato para el Estado de Oaxaca.</w:t>
      </w:r>
    </w:p>
    <w:p w14:paraId="25FB0C6A" w14:textId="77777777" w:rsidR="00B8641D" w:rsidRDefault="00B8641D" w:rsidP="00BA58AA">
      <w:pPr>
        <w:spacing w:after="0" w:line="276" w:lineRule="auto"/>
        <w:rPr>
          <w:rFonts w:eastAsia="Arial" w:cs="Arial"/>
          <w:b/>
          <w:bCs/>
          <w:color w:val="000000"/>
          <w:szCs w:val="24"/>
        </w:rPr>
      </w:pPr>
    </w:p>
    <w:p w14:paraId="1A8E5D64" w14:textId="52444095" w:rsidR="00BA58AA" w:rsidRDefault="003C078A" w:rsidP="00BA58AA">
      <w:pPr>
        <w:spacing w:after="0" w:line="276" w:lineRule="auto"/>
        <w:rPr>
          <w:rFonts w:eastAsia="Arial" w:cs="Arial"/>
          <w:b/>
          <w:bCs/>
          <w:color w:val="000000"/>
          <w:szCs w:val="24"/>
        </w:rPr>
      </w:pPr>
      <w:r>
        <w:rPr>
          <w:rFonts w:eastAsia="Arial" w:cs="Arial"/>
          <w:b/>
          <w:bCs/>
          <w:color w:val="000000"/>
          <w:szCs w:val="24"/>
        </w:rPr>
        <w:t>Quinto</w:t>
      </w:r>
      <w:r w:rsidR="00BA58AA" w:rsidRPr="00FE08C6">
        <w:rPr>
          <w:rFonts w:eastAsia="Arial" w:cs="Arial"/>
          <w:b/>
          <w:bCs/>
          <w:color w:val="000000"/>
          <w:szCs w:val="24"/>
        </w:rPr>
        <w:t>. De la plataforma</w:t>
      </w:r>
      <w:r w:rsidR="003D2FD6">
        <w:rPr>
          <w:rFonts w:eastAsia="Arial" w:cs="Arial"/>
          <w:b/>
          <w:bCs/>
          <w:color w:val="000000"/>
          <w:szCs w:val="24"/>
        </w:rPr>
        <w:t xml:space="preserve"> y análisis estadístico</w:t>
      </w:r>
      <w:r w:rsidR="00BA58AA" w:rsidRPr="00FE08C6">
        <w:rPr>
          <w:rFonts w:eastAsia="Arial" w:cs="Arial"/>
          <w:b/>
          <w:bCs/>
          <w:color w:val="000000"/>
          <w:szCs w:val="24"/>
        </w:rPr>
        <w:t xml:space="preserve">. </w:t>
      </w:r>
    </w:p>
    <w:p w14:paraId="62A18B9C" w14:textId="77777777" w:rsidR="00BA58AA" w:rsidRPr="00FE08C6" w:rsidRDefault="00BA58AA" w:rsidP="00BA58AA">
      <w:pPr>
        <w:spacing w:after="0" w:line="276" w:lineRule="auto"/>
        <w:rPr>
          <w:rFonts w:eastAsia="Arial" w:cs="Arial"/>
          <w:b/>
          <w:bCs/>
          <w:color w:val="000000"/>
          <w:szCs w:val="24"/>
        </w:rPr>
      </w:pPr>
    </w:p>
    <w:p w14:paraId="6A75C80B" w14:textId="22105C72" w:rsidR="00BA58AA" w:rsidRPr="00FE08C6" w:rsidRDefault="00BA58AA" w:rsidP="00042D2F">
      <w:pPr>
        <w:pStyle w:val="Prrafodelista"/>
        <w:numPr>
          <w:ilvl w:val="0"/>
          <w:numId w:val="2"/>
        </w:numPr>
        <w:rPr>
          <w:rFonts w:eastAsia="Arial" w:cs="Arial"/>
          <w:color w:val="000000"/>
          <w:szCs w:val="24"/>
        </w:rPr>
      </w:pPr>
      <w:r>
        <w:t xml:space="preserve">La implementación del </w:t>
      </w:r>
      <w:r>
        <w:rPr>
          <w:rStyle w:val="nfasis"/>
        </w:rPr>
        <w:t xml:space="preserve">Sistema de Registro de </w:t>
      </w:r>
      <w:r w:rsidR="006D285E">
        <w:rPr>
          <w:rStyle w:val="nfasis"/>
        </w:rPr>
        <w:t xml:space="preserve">Personas </w:t>
      </w:r>
      <w:r>
        <w:rPr>
          <w:rStyle w:val="nfasis"/>
        </w:rPr>
        <w:t>Observador</w:t>
      </w:r>
      <w:r w:rsidR="006D285E">
        <w:rPr>
          <w:rStyle w:val="nfasis"/>
        </w:rPr>
        <w:t>a</w:t>
      </w:r>
      <w:r>
        <w:rPr>
          <w:rStyle w:val="nfasis"/>
        </w:rPr>
        <w:t>s de</w:t>
      </w:r>
      <w:r w:rsidR="00975811">
        <w:rPr>
          <w:rStyle w:val="nfasis"/>
        </w:rPr>
        <w:t xml:space="preserve">l proceso de </w:t>
      </w:r>
      <w:r>
        <w:rPr>
          <w:rStyle w:val="nfasis"/>
        </w:rPr>
        <w:t xml:space="preserve">Revocación de Mandato de la </w:t>
      </w:r>
      <w:r w:rsidR="0087436C">
        <w:rPr>
          <w:rStyle w:val="nfasis"/>
        </w:rPr>
        <w:t>p</w:t>
      </w:r>
      <w:r>
        <w:rPr>
          <w:rStyle w:val="nfasis"/>
        </w:rPr>
        <w:t xml:space="preserve">ersona </w:t>
      </w:r>
      <w:r w:rsidR="0087436C">
        <w:rPr>
          <w:rStyle w:val="nfasis"/>
        </w:rPr>
        <w:t>t</w:t>
      </w:r>
      <w:r>
        <w:rPr>
          <w:rStyle w:val="nfasis"/>
        </w:rPr>
        <w:t xml:space="preserve">itular de la Gubernatura del Estado de Oaxaca </w:t>
      </w:r>
      <w:r w:rsidR="00DF7DF1">
        <w:rPr>
          <w:rStyle w:val="nfasis"/>
        </w:rPr>
        <w:t xml:space="preserve">para el periodo constitucional de </w:t>
      </w:r>
      <w:r>
        <w:rPr>
          <w:rStyle w:val="nfasis"/>
        </w:rPr>
        <w:t>202</w:t>
      </w:r>
      <w:r w:rsidR="00DF7DF1">
        <w:rPr>
          <w:rStyle w:val="nfasis"/>
        </w:rPr>
        <w:t>2</w:t>
      </w:r>
      <w:r>
        <w:rPr>
          <w:rStyle w:val="nfasis"/>
        </w:rPr>
        <w:t>–202</w:t>
      </w:r>
      <w:r w:rsidR="00DF7DF1">
        <w:rPr>
          <w:rStyle w:val="nfasis"/>
        </w:rPr>
        <w:t>8</w:t>
      </w:r>
      <w:r w:rsidR="007B3620">
        <w:t xml:space="preserve">, </w:t>
      </w:r>
      <w:r>
        <w:t xml:space="preserve">estará a </w:t>
      </w:r>
      <w:r w:rsidRPr="00650E2B">
        <w:t>cargo de la Unidad Técnica de Servicios de Informática y Documentación (UTSI</w:t>
      </w:r>
      <w:r w:rsidR="00CE6185">
        <w:t>y</w:t>
      </w:r>
      <w:r w:rsidRPr="00650E2B">
        <w:t>D)</w:t>
      </w:r>
      <w:r w:rsidR="000F3F81" w:rsidRPr="00650E2B">
        <w:t xml:space="preserve"> del IEEPCO</w:t>
      </w:r>
      <w:r w:rsidRPr="00650E2B">
        <w:t xml:space="preserve">. Este sistema constituye la herramienta oficial para la </w:t>
      </w:r>
      <w:r w:rsidRPr="00650E2B">
        <w:lastRenderedPageBreak/>
        <w:t>recepción</w:t>
      </w:r>
      <w:r w:rsidR="00BC1A47" w:rsidRPr="00650E2B">
        <w:t xml:space="preserve">, gestión </w:t>
      </w:r>
      <w:r w:rsidRPr="00650E2B">
        <w:t xml:space="preserve">y seguimiento de las solicitudes de registro de la ciudadanía interesada </w:t>
      </w:r>
      <w:r w:rsidR="006F7E12" w:rsidRPr="00650E2B">
        <w:t xml:space="preserve">en realizar </w:t>
      </w:r>
      <w:r w:rsidR="00667ECE" w:rsidRPr="00650E2B">
        <w:t>observación en el</w:t>
      </w:r>
      <w:r w:rsidR="00667ECE">
        <w:t xml:space="preserve"> </w:t>
      </w:r>
      <w:r w:rsidR="00BC0AF5">
        <w:t xml:space="preserve">proceso de </w:t>
      </w:r>
      <w:r>
        <w:t>Revocación de Mandato.</w:t>
      </w:r>
    </w:p>
    <w:p w14:paraId="43884F2C" w14:textId="77777777" w:rsidR="00BA58AA" w:rsidRPr="00FE08C6" w:rsidRDefault="00BA58AA" w:rsidP="00BA58AA">
      <w:pPr>
        <w:pStyle w:val="Prrafodelista"/>
        <w:rPr>
          <w:rFonts w:eastAsia="Arial" w:cs="Arial"/>
          <w:color w:val="000000"/>
          <w:szCs w:val="24"/>
        </w:rPr>
      </w:pPr>
    </w:p>
    <w:p w14:paraId="5940707A" w14:textId="26203E5C" w:rsidR="00CC2F68" w:rsidRPr="00650E2B" w:rsidRDefault="00BA58AA" w:rsidP="00CC2F68">
      <w:pPr>
        <w:pStyle w:val="Prrafodelista"/>
        <w:numPr>
          <w:ilvl w:val="0"/>
          <w:numId w:val="2"/>
        </w:numPr>
        <w:rPr>
          <w:rFonts w:eastAsia="Arial" w:cs="Arial"/>
          <w:szCs w:val="24"/>
        </w:rPr>
      </w:pPr>
      <w:r w:rsidRPr="00650E2B">
        <w:t xml:space="preserve">La plataforma deberá incorporar campos que permitan recabar, únicamente para fines estadísticos, </w:t>
      </w:r>
      <w:r w:rsidR="00D615CE" w:rsidRPr="00650E2B">
        <w:t>información relativa a sexo,</w:t>
      </w:r>
      <w:r w:rsidR="00901E62" w:rsidRPr="00650E2B">
        <w:t xml:space="preserve"> lugar de residencia de las personas solicitantes,</w:t>
      </w:r>
      <w:r w:rsidR="00D615CE" w:rsidRPr="00650E2B">
        <w:t xml:space="preserve"> identidad de género y diversidad sexual, autoadscripción indígena o afromexicana, discapacidad</w:t>
      </w:r>
      <w:r w:rsidR="004C22A3" w:rsidRPr="00650E2B">
        <w:t>,</w:t>
      </w:r>
      <w:r w:rsidR="00D615CE" w:rsidRPr="00650E2B">
        <w:t xml:space="preserve"> juventudes</w:t>
      </w:r>
      <w:r w:rsidR="004C22A3" w:rsidRPr="00650E2B">
        <w:t xml:space="preserve"> y personas adultas mayores</w:t>
      </w:r>
      <w:r w:rsidR="00D615CE" w:rsidRPr="00650E2B">
        <w:t xml:space="preserve">. </w:t>
      </w:r>
      <w:r w:rsidR="00FE5DE3" w:rsidRPr="00650E2B">
        <w:t xml:space="preserve">El análisis estadístico que se realice estará a cargo de la DEECyPC. </w:t>
      </w:r>
      <w:r w:rsidR="00D615CE" w:rsidRPr="00650E2B">
        <w:t xml:space="preserve">La recolección de estos datos permitirá generar indicadores institucionales orientados a </w:t>
      </w:r>
      <w:r w:rsidR="00081456" w:rsidRPr="00650E2B">
        <w:t>la</w:t>
      </w:r>
      <w:r w:rsidR="00D615CE" w:rsidRPr="00650E2B">
        <w:t xml:space="preserve"> inclusión, interculturalidad e interseccionalidad en la observación.</w:t>
      </w:r>
      <w:r w:rsidR="00FE5DE3" w:rsidRPr="00650E2B">
        <w:t xml:space="preserve"> Para tal </w:t>
      </w:r>
      <w:r w:rsidR="003D2FD6" w:rsidRPr="00650E2B">
        <w:t>fin</w:t>
      </w:r>
      <w:r w:rsidR="00FE5DE3" w:rsidRPr="00650E2B">
        <w:t>, la DEECyPC</w:t>
      </w:r>
      <w:r w:rsidR="003D2FD6" w:rsidRPr="00650E2B">
        <w:t xml:space="preserve"> presentará un informe dentro de los 60 días posteriores a la Jornada de Revocación de Mandato.</w:t>
      </w:r>
      <w:r w:rsidR="00AB4932" w:rsidRPr="00650E2B">
        <w:t xml:space="preserve"> La Secretaría Ejecutiva </w:t>
      </w:r>
      <w:r w:rsidR="00966C69" w:rsidRPr="00650E2B">
        <w:t xml:space="preserve">realizará una amplia difusión de dicho informe. </w:t>
      </w:r>
    </w:p>
    <w:p w14:paraId="4EE67054" w14:textId="77777777" w:rsidR="00CC2F68" w:rsidRDefault="00CC2F68" w:rsidP="00CC2F68">
      <w:pPr>
        <w:pStyle w:val="Prrafodelista"/>
      </w:pPr>
    </w:p>
    <w:p w14:paraId="1A81B5B7" w14:textId="628FDF1F" w:rsidR="009045F0" w:rsidRPr="008F52E7" w:rsidRDefault="00CC2F68" w:rsidP="008F52E7">
      <w:pPr>
        <w:pStyle w:val="Prrafodelista"/>
        <w:rPr>
          <w:rFonts w:eastAsia="Arial" w:cs="Arial"/>
          <w:szCs w:val="24"/>
        </w:rPr>
      </w:pPr>
      <w:r w:rsidRPr="00650E2B">
        <w:rPr>
          <w:rFonts w:cs="Arial"/>
        </w:rPr>
        <w:t xml:space="preserve">El tratamiento de estos datos personales, considerados sensibles, se realizará conforme a la </w:t>
      </w:r>
      <w:r w:rsidRPr="004D5B1B">
        <w:rPr>
          <w:rStyle w:val="Textoennegrita"/>
          <w:rFonts w:cs="Arial"/>
          <w:b w:val="0"/>
          <w:bCs w:val="0"/>
        </w:rPr>
        <w:t>Ley General de Protección de Datos Personales en Posesión de Sujetos Obligados</w:t>
      </w:r>
      <w:r w:rsidRPr="00650E2B">
        <w:rPr>
          <w:rFonts w:cs="Arial"/>
          <w:b/>
        </w:rPr>
        <w:t xml:space="preserve"> </w:t>
      </w:r>
      <w:r w:rsidRPr="00650E2B">
        <w:rPr>
          <w:rFonts w:cs="Arial"/>
        </w:rPr>
        <w:t>y la normativa aplicable.</w:t>
      </w:r>
    </w:p>
    <w:p w14:paraId="5AACB326" w14:textId="0FC88422" w:rsidR="00804D1A" w:rsidRPr="0069294A" w:rsidRDefault="003D2FD6" w:rsidP="00DB32F3">
      <w:pPr>
        <w:spacing w:after="0" w:line="276" w:lineRule="auto"/>
        <w:rPr>
          <w:rFonts w:eastAsia="Arial" w:cs="Arial"/>
          <w:b/>
          <w:bCs/>
          <w:color w:val="000000"/>
          <w:szCs w:val="24"/>
        </w:rPr>
      </w:pPr>
      <w:r>
        <w:rPr>
          <w:rFonts w:eastAsia="Arial" w:cs="Arial"/>
          <w:b/>
          <w:bCs/>
          <w:color w:val="000000"/>
          <w:szCs w:val="24"/>
        </w:rPr>
        <w:t>Sexto</w:t>
      </w:r>
      <w:r w:rsidR="00804D1A" w:rsidRPr="0090107E">
        <w:rPr>
          <w:rFonts w:eastAsia="Arial" w:cs="Arial"/>
          <w:b/>
          <w:bCs/>
          <w:color w:val="000000"/>
          <w:szCs w:val="24"/>
        </w:rPr>
        <w:t xml:space="preserve">. De la convocatoria. </w:t>
      </w:r>
    </w:p>
    <w:p w14:paraId="68944ACE" w14:textId="77777777" w:rsidR="00A11F84" w:rsidRDefault="00A11F84" w:rsidP="00A11F84">
      <w:pPr>
        <w:spacing w:after="0" w:line="276" w:lineRule="auto"/>
        <w:ind w:left="720"/>
        <w:rPr>
          <w:rFonts w:eastAsia="Arial" w:cs="Arial"/>
          <w:color w:val="000000"/>
          <w:szCs w:val="24"/>
        </w:rPr>
      </w:pPr>
    </w:p>
    <w:p w14:paraId="145ECA8D" w14:textId="58F25D05" w:rsidR="009E2A8C" w:rsidRPr="009E2A8C" w:rsidRDefault="003D2FD6" w:rsidP="00BA58AA">
      <w:pPr>
        <w:numPr>
          <w:ilvl w:val="0"/>
          <w:numId w:val="2"/>
        </w:numPr>
        <w:spacing w:after="0" w:line="276" w:lineRule="auto"/>
        <w:rPr>
          <w:rFonts w:eastAsia="Arial" w:cs="Arial"/>
          <w:color w:val="000000"/>
          <w:szCs w:val="24"/>
        </w:rPr>
      </w:pPr>
      <w:r>
        <w:t>E</w:t>
      </w:r>
      <w:r w:rsidR="009E2A8C">
        <w:t xml:space="preserve">n términos </w:t>
      </w:r>
      <w:r w:rsidR="009E2A8C" w:rsidRPr="00650E2B">
        <w:t xml:space="preserve">del artículo 186, numeral 1 del </w:t>
      </w:r>
      <w:r w:rsidR="00A326F4" w:rsidRPr="00650E2B">
        <w:t>RE</w:t>
      </w:r>
      <w:r w:rsidR="009E2A8C" w:rsidRPr="00650E2B">
        <w:t xml:space="preserve">, el </w:t>
      </w:r>
      <w:r w:rsidR="00CF7741" w:rsidRPr="00650E2B">
        <w:t xml:space="preserve">IEEPCO </w:t>
      </w:r>
      <w:r w:rsidR="009E2A8C" w:rsidRPr="00650E2B">
        <w:t xml:space="preserve">deberá emitir la convocatoria </w:t>
      </w:r>
      <w:r w:rsidR="00AD22C2" w:rsidRPr="00650E2B">
        <w:t xml:space="preserve">para la </w:t>
      </w:r>
      <w:r w:rsidR="006D7DC1">
        <w:t>o</w:t>
      </w:r>
      <w:r w:rsidR="00AD22C2" w:rsidRPr="00650E2B">
        <w:t xml:space="preserve">bservación </w:t>
      </w:r>
      <w:r w:rsidR="006D7DC1">
        <w:t>del proceso de Revocación de Mandato</w:t>
      </w:r>
      <w:r w:rsidR="00F15F16" w:rsidRPr="00650E2B">
        <w:t>, en sesión de Consejo General</w:t>
      </w:r>
      <w:r w:rsidR="002916FD" w:rsidRPr="00650E2B">
        <w:t>,</w:t>
      </w:r>
      <w:r w:rsidR="005C6AD3" w:rsidRPr="00650E2B">
        <w:t xml:space="preserve"> </w:t>
      </w:r>
      <w:r w:rsidR="009E2A8C" w:rsidRPr="00650E2B">
        <w:t>a fin de dar inicio formal al procedimiento de acreditación de personas observadoras</w:t>
      </w:r>
      <w:r w:rsidR="00EA3538" w:rsidRPr="00650E2B">
        <w:t>, garantizando los principios de certeza y máxima publicidad.</w:t>
      </w:r>
      <w:r w:rsidR="00EA3538">
        <w:t xml:space="preserve"> </w:t>
      </w:r>
    </w:p>
    <w:p w14:paraId="0ECE6347" w14:textId="77777777" w:rsidR="009E2A8C" w:rsidRPr="009E2A8C" w:rsidRDefault="009E2A8C" w:rsidP="006A55A4">
      <w:pPr>
        <w:spacing w:after="0" w:line="276" w:lineRule="auto"/>
        <w:ind w:left="720"/>
        <w:rPr>
          <w:rFonts w:eastAsia="Arial" w:cs="Arial"/>
          <w:color w:val="000000"/>
          <w:szCs w:val="24"/>
        </w:rPr>
      </w:pPr>
    </w:p>
    <w:p w14:paraId="416C0169" w14:textId="3452EA63" w:rsidR="007E55B5" w:rsidRDefault="009E2A8C" w:rsidP="00BA58AA">
      <w:pPr>
        <w:pStyle w:val="Prrafodelista"/>
        <w:numPr>
          <w:ilvl w:val="0"/>
          <w:numId w:val="2"/>
        </w:numPr>
        <w:rPr>
          <w:rFonts w:eastAsia="Arial" w:cs="Arial"/>
          <w:color w:val="000000"/>
          <w:szCs w:val="24"/>
        </w:rPr>
      </w:pPr>
      <w:r w:rsidRPr="009E2A8C">
        <w:rPr>
          <w:rFonts w:eastAsia="Arial" w:cs="Arial"/>
          <w:color w:val="000000"/>
          <w:szCs w:val="24"/>
        </w:rPr>
        <w:t>En cumplimiento de lo anterior</w:t>
      </w:r>
      <w:r w:rsidR="00725C68">
        <w:rPr>
          <w:rFonts w:eastAsia="Arial" w:cs="Arial"/>
          <w:color w:val="000000"/>
          <w:szCs w:val="24"/>
        </w:rPr>
        <w:t xml:space="preserve"> y con el f</w:t>
      </w:r>
      <w:r w:rsidR="000F3F81">
        <w:rPr>
          <w:rFonts w:eastAsia="Arial" w:cs="Arial"/>
          <w:color w:val="000000"/>
          <w:szCs w:val="24"/>
        </w:rPr>
        <w:t>i</w:t>
      </w:r>
      <w:r w:rsidR="00725C68">
        <w:rPr>
          <w:rFonts w:eastAsia="Arial" w:cs="Arial"/>
          <w:color w:val="000000"/>
          <w:szCs w:val="24"/>
        </w:rPr>
        <w:t xml:space="preserve">n de maximizar el derecho de la ciudadanía </w:t>
      </w:r>
      <w:r w:rsidR="00A54AAF">
        <w:rPr>
          <w:rFonts w:eastAsia="Arial" w:cs="Arial"/>
          <w:color w:val="000000"/>
          <w:szCs w:val="24"/>
        </w:rPr>
        <w:t>a ejercer su derecho político electoral a la observación</w:t>
      </w:r>
      <w:r w:rsidRPr="004B60BF">
        <w:rPr>
          <w:rFonts w:eastAsia="Arial" w:cs="Arial"/>
          <w:color w:val="000000"/>
          <w:szCs w:val="24"/>
        </w:rPr>
        <w:t xml:space="preserve">, </w:t>
      </w:r>
      <w:r w:rsidR="00A83AC8">
        <w:rPr>
          <w:rFonts w:eastAsia="Arial" w:cs="Arial"/>
          <w:color w:val="000000"/>
          <w:szCs w:val="24"/>
        </w:rPr>
        <w:t xml:space="preserve">se emita </w:t>
      </w:r>
      <w:r w:rsidRPr="004B60BF">
        <w:rPr>
          <w:rFonts w:eastAsia="Arial" w:cs="Arial"/>
          <w:color w:val="000000"/>
          <w:szCs w:val="24"/>
        </w:rPr>
        <w:t xml:space="preserve">la </w:t>
      </w:r>
      <w:r w:rsidR="00852B65">
        <w:rPr>
          <w:rFonts w:eastAsia="Arial" w:cs="Arial"/>
          <w:color w:val="000000"/>
          <w:szCs w:val="24"/>
        </w:rPr>
        <w:t>C</w:t>
      </w:r>
      <w:r w:rsidR="00852B65" w:rsidRPr="004B60BF">
        <w:rPr>
          <w:rFonts w:eastAsia="Arial" w:cs="Arial"/>
          <w:color w:val="000000"/>
          <w:szCs w:val="24"/>
        </w:rPr>
        <w:t>onvocatoria</w:t>
      </w:r>
      <w:r w:rsidR="00852B65">
        <w:rPr>
          <w:rFonts w:eastAsia="Arial" w:cs="Arial"/>
          <w:color w:val="000000"/>
          <w:szCs w:val="24"/>
        </w:rPr>
        <w:t>,</w:t>
      </w:r>
      <w:r w:rsidR="00A83AC8">
        <w:rPr>
          <w:rFonts w:eastAsia="Arial" w:cs="Arial"/>
          <w:color w:val="000000"/>
          <w:szCs w:val="24"/>
        </w:rPr>
        <w:t xml:space="preserve"> que </w:t>
      </w:r>
      <w:r w:rsidRPr="004B60BF">
        <w:rPr>
          <w:rFonts w:eastAsia="Arial" w:cs="Arial"/>
          <w:color w:val="000000"/>
          <w:szCs w:val="24"/>
        </w:rPr>
        <w:t xml:space="preserve">estará vigente a partir de su publicación y hasta el </w:t>
      </w:r>
      <w:r w:rsidRPr="00650E2B">
        <w:rPr>
          <w:rFonts w:eastAsia="Arial" w:cs="Arial"/>
          <w:color w:val="000000"/>
          <w:szCs w:val="24"/>
        </w:rPr>
        <w:t>día 16 de enero de 2026</w:t>
      </w:r>
      <w:r w:rsidR="00A54AAF" w:rsidRPr="00650E2B">
        <w:rPr>
          <w:rFonts w:eastAsia="Arial" w:cs="Arial"/>
          <w:color w:val="000000"/>
          <w:szCs w:val="24"/>
        </w:rPr>
        <w:t>,</w:t>
      </w:r>
      <w:r w:rsidR="00A54AAF" w:rsidRPr="004B60BF">
        <w:rPr>
          <w:rFonts w:eastAsia="Arial" w:cs="Arial"/>
          <w:color w:val="000000"/>
          <w:szCs w:val="24"/>
        </w:rPr>
        <w:t xml:space="preserve"> siendo este plazo improrrogable</w:t>
      </w:r>
      <w:r w:rsidR="005978A7" w:rsidRPr="004B60BF">
        <w:rPr>
          <w:rFonts w:eastAsia="Arial" w:cs="Arial"/>
          <w:color w:val="000000"/>
          <w:szCs w:val="24"/>
        </w:rPr>
        <w:t>.</w:t>
      </w:r>
      <w:r w:rsidR="005978A7">
        <w:rPr>
          <w:rFonts w:eastAsia="Arial" w:cs="Arial"/>
          <w:color w:val="000000"/>
          <w:szCs w:val="24"/>
        </w:rPr>
        <w:t xml:space="preserve"> Durante este </w:t>
      </w:r>
      <w:r w:rsidRPr="009E2A8C">
        <w:rPr>
          <w:rFonts w:eastAsia="Arial" w:cs="Arial"/>
          <w:color w:val="000000"/>
          <w:szCs w:val="24"/>
        </w:rPr>
        <w:t>periodo</w:t>
      </w:r>
      <w:r w:rsidR="005978A7">
        <w:rPr>
          <w:rFonts w:eastAsia="Arial" w:cs="Arial"/>
          <w:color w:val="000000"/>
          <w:szCs w:val="24"/>
        </w:rPr>
        <w:t xml:space="preserve">, </w:t>
      </w:r>
      <w:r w:rsidRPr="009E2A8C">
        <w:rPr>
          <w:rFonts w:eastAsia="Arial" w:cs="Arial"/>
          <w:color w:val="000000"/>
          <w:szCs w:val="24"/>
        </w:rPr>
        <w:t xml:space="preserve">la ciudadanía podrá presentar su solicitud de registro para participar como personas observadoras en el proceso de </w:t>
      </w:r>
      <w:r w:rsidR="00081456">
        <w:rPr>
          <w:rFonts w:eastAsia="Arial" w:cs="Arial"/>
          <w:color w:val="000000"/>
          <w:szCs w:val="24"/>
        </w:rPr>
        <w:t>R</w:t>
      </w:r>
      <w:r w:rsidRPr="009E2A8C">
        <w:rPr>
          <w:rFonts w:eastAsia="Arial" w:cs="Arial"/>
          <w:color w:val="000000"/>
          <w:szCs w:val="24"/>
        </w:rPr>
        <w:t xml:space="preserve">evocación de </w:t>
      </w:r>
      <w:r w:rsidR="00081456">
        <w:rPr>
          <w:rFonts w:eastAsia="Arial" w:cs="Arial"/>
          <w:color w:val="000000"/>
          <w:szCs w:val="24"/>
        </w:rPr>
        <w:t>M</w:t>
      </w:r>
      <w:r w:rsidRPr="009E2A8C">
        <w:rPr>
          <w:rFonts w:eastAsia="Arial" w:cs="Arial"/>
          <w:color w:val="000000"/>
          <w:szCs w:val="24"/>
        </w:rPr>
        <w:t xml:space="preserve">andato de la persona titular de la </w:t>
      </w:r>
      <w:r w:rsidR="009D5ECC">
        <w:rPr>
          <w:rFonts w:eastAsia="Arial" w:cs="Arial"/>
          <w:color w:val="000000"/>
          <w:szCs w:val="24"/>
        </w:rPr>
        <w:t>G</w:t>
      </w:r>
      <w:r w:rsidRPr="009E2A8C">
        <w:rPr>
          <w:rFonts w:eastAsia="Arial" w:cs="Arial"/>
          <w:color w:val="000000"/>
          <w:szCs w:val="24"/>
        </w:rPr>
        <w:t xml:space="preserve">ubernatura del </w:t>
      </w:r>
      <w:r w:rsidR="009D5ECC">
        <w:rPr>
          <w:rFonts w:eastAsia="Arial" w:cs="Arial"/>
          <w:color w:val="000000"/>
          <w:szCs w:val="24"/>
        </w:rPr>
        <w:t>E</w:t>
      </w:r>
      <w:r w:rsidRPr="009E2A8C">
        <w:rPr>
          <w:rFonts w:eastAsia="Arial" w:cs="Arial"/>
          <w:color w:val="000000"/>
          <w:szCs w:val="24"/>
        </w:rPr>
        <w:t>stado de Oaxaca, para el periodo constitucional 2022–2028.</w:t>
      </w:r>
      <w:r w:rsidR="00A54AAF">
        <w:rPr>
          <w:rFonts w:eastAsia="Arial" w:cs="Arial"/>
          <w:color w:val="000000"/>
          <w:szCs w:val="24"/>
        </w:rPr>
        <w:t xml:space="preserve"> </w:t>
      </w:r>
    </w:p>
    <w:p w14:paraId="3F976718" w14:textId="77777777" w:rsidR="00E26CEA" w:rsidRDefault="00E26CEA" w:rsidP="00E26CEA">
      <w:pPr>
        <w:pStyle w:val="Prrafodelista"/>
        <w:rPr>
          <w:rFonts w:eastAsia="Arial" w:cs="Arial"/>
          <w:color w:val="000000"/>
          <w:szCs w:val="24"/>
        </w:rPr>
      </w:pPr>
    </w:p>
    <w:p w14:paraId="303CD00D" w14:textId="5C1DA8C1" w:rsidR="00E26CEA" w:rsidRPr="00E26CEA" w:rsidRDefault="009045F0" w:rsidP="009045F0">
      <w:pPr>
        <w:rPr>
          <w:rFonts w:eastAsia="Arial" w:cs="Arial"/>
          <w:b/>
          <w:bCs/>
          <w:color w:val="000000"/>
          <w:szCs w:val="24"/>
        </w:rPr>
      </w:pPr>
      <w:r w:rsidRPr="00A326F4">
        <w:rPr>
          <w:rFonts w:eastAsia="Arial" w:cs="Arial"/>
          <w:b/>
          <w:bCs/>
          <w:szCs w:val="24"/>
        </w:rPr>
        <w:t>Séptimo</w:t>
      </w:r>
      <w:r w:rsidR="00E26CEA" w:rsidRPr="00A326F4">
        <w:rPr>
          <w:rFonts w:eastAsia="Arial" w:cs="Arial"/>
          <w:b/>
          <w:bCs/>
          <w:szCs w:val="24"/>
        </w:rPr>
        <w:t xml:space="preserve">. </w:t>
      </w:r>
      <w:r w:rsidR="00E26CEA">
        <w:rPr>
          <w:rFonts w:eastAsia="Arial" w:cs="Arial"/>
          <w:b/>
          <w:bCs/>
          <w:color w:val="000000"/>
          <w:szCs w:val="24"/>
        </w:rPr>
        <w:t xml:space="preserve">De la difusión de la </w:t>
      </w:r>
      <w:r w:rsidR="00A023D2">
        <w:rPr>
          <w:rFonts w:eastAsia="Arial" w:cs="Arial"/>
          <w:b/>
          <w:bCs/>
          <w:color w:val="000000"/>
          <w:szCs w:val="24"/>
        </w:rPr>
        <w:t>C</w:t>
      </w:r>
      <w:r w:rsidR="00E26CEA">
        <w:rPr>
          <w:rFonts w:eastAsia="Arial" w:cs="Arial"/>
          <w:b/>
          <w:bCs/>
          <w:color w:val="000000"/>
          <w:szCs w:val="24"/>
        </w:rPr>
        <w:t xml:space="preserve">onvocatoria. </w:t>
      </w:r>
    </w:p>
    <w:p w14:paraId="2F008291" w14:textId="77777777" w:rsidR="00311EE5" w:rsidRDefault="00311EE5" w:rsidP="00311EE5">
      <w:pPr>
        <w:pStyle w:val="Prrafodelista"/>
        <w:rPr>
          <w:rFonts w:eastAsia="Arial" w:cs="Arial"/>
          <w:color w:val="000000"/>
          <w:szCs w:val="24"/>
        </w:rPr>
      </w:pPr>
    </w:p>
    <w:p w14:paraId="76EF38AA" w14:textId="52DF8DE0" w:rsidR="001F18F5" w:rsidRPr="00E3796B" w:rsidRDefault="003E7667" w:rsidP="00432633">
      <w:pPr>
        <w:pStyle w:val="Prrafodelista"/>
        <w:numPr>
          <w:ilvl w:val="0"/>
          <w:numId w:val="2"/>
        </w:numPr>
        <w:spacing w:line="276" w:lineRule="auto"/>
        <w:rPr>
          <w:rFonts w:eastAsia="Arial" w:cs="Arial"/>
          <w:color w:val="000000"/>
          <w:szCs w:val="24"/>
        </w:rPr>
      </w:pPr>
      <w:r>
        <w:t xml:space="preserve">La difusión de la presente </w:t>
      </w:r>
      <w:r w:rsidR="00432633">
        <w:t>C</w:t>
      </w:r>
      <w:r>
        <w:t xml:space="preserve">onvocatoria estará a cargo de la </w:t>
      </w:r>
      <w:r w:rsidR="00E26CEA">
        <w:t xml:space="preserve">SE, la </w:t>
      </w:r>
      <w:r>
        <w:t>DEECyPC, la UTC</w:t>
      </w:r>
      <w:r w:rsidR="006431CD">
        <w:t>S</w:t>
      </w:r>
      <w:r w:rsidR="00097429">
        <w:t xml:space="preserve">, </w:t>
      </w:r>
      <w:r>
        <w:t>y</w:t>
      </w:r>
      <w:r w:rsidR="00097429">
        <w:t xml:space="preserve"> l</w:t>
      </w:r>
      <w:r>
        <w:t xml:space="preserve">os </w:t>
      </w:r>
      <w:r w:rsidR="00432633">
        <w:t>CD</w:t>
      </w:r>
      <w:r>
        <w:t xml:space="preserve"> del Instituto, quienes deberán garantizar </w:t>
      </w:r>
      <w:r w:rsidR="00286878">
        <w:t>el principio de máxima publicidad,</w:t>
      </w:r>
      <w:r w:rsidR="006C6C11" w:rsidRPr="006C6C11">
        <w:t xml:space="preserve"> </w:t>
      </w:r>
      <w:r w:rsidR="006C6C11">
        <w:t xml:space="preserve">accesibilidad y cobertura territorial amplia, utilizando los canales institucionales disponibles a fin de promover la </w:t>
      </w:r>
      <w:r w:rsidR="006C6C11">
        <w:lastRenderedPageBreak/>
        <w:t>participación informada de la ciudadanía interesada en desempeñarse como personas observadoras.</w:t>
      </w:r>
    </w:p>
    <w:p w14:paraId="43A5E87D" w14:textId="77777777" w:rsidR="00C74908" w:rsidRDefault="00C74908" w:rsidP="00AE4926">
      <w:pPr>
        <w:spacing w:after="0" w:line="276" w:lineRule="auto"/>
        <w:rPr>
          <w:rFonts w:eastAsia="Arial" w:cs="Arial"/>
          <w:color w:val="000000"/>
          <w:szCs w:val="24"/>
        </w:rPr>
      </w:pPr>
    </w:p>
    <w:p w14:paraId="0BAA6985" w14:textId="29DC98E0" w:rsidR="00B43783" w:rsidRPr="00964988" w:rsidRDefault="00C74908" w:rsidP="00432633">
      <w:pPr>
        <w:pStyle w:val="Prrafodelista"/>
        <w:numPr>
          <w:ilvl w:val="0"/>
          <w:numId w:val="2"/>
        </w:numPr>
        <w:spacing w:line="276" w:lineRule="auto"/>
        <w:rPr>
          <w:rFonts w:eastAsia="Arial" w:cs="Arial"/>
          <w:color w:val="000000"/>
          <w:szCs w:val="24"/>
        </w:rPr>
      </w:pPr>
      <w:r w:rsidRPr="00C74908">
        <w:rPr>
          <w:rFonts w:eastAsia="Arial" w:cs="Arial"/>
          <w:color w:val="000000"/>
          <w:szCs w:val="24"/>
        </w:rPr>
        <w:t xml:space="preserve"> A</w:t>
      </w:r>
      <w:r w:rsidR="000F3F81">
        <w:rPr>
          <w:rFonts w:eastAsia="Arial" w:cs="Arial"/>
          <w:color w:val="000000"/>
          <w:szCs w:val="24"/>
        </w:rPr>
        <w:t xml:space="preserve"> </w:t>
      </w:r>
      <w:r w:rsidRPr="00C74908">
        <w:rPr>
          <w:rFonts w:eastAsia="Arial" w:cs="Arial"/>
          <w:color w:val="000000"/>
          <w:szCs w:val="24"/>
        </w:rPr>
        <w:t xml:space="preserve">su vez, </w:t>
      </w:r>
      <w:r w:rsidR="00033997">
        <w:t xml:space="preserve">el artículo 2º de la Constitución Federal, </w:t>
      </w:r>
      <w:r w:rsidRPr="00C74908">
        <w:t xml:space="preserve">reconoce que la Nación tiene una composición pluricultural sustentada originalmente en sus pueblos indígenas, y establece el deber del estado de garantizar a estas comunidades el acceso pleno a la jurisdicción del estado, así como el derecho a preservar y enriquecer sus lenguas, conocimientos y todos los elementos que constituyen su cultura e identidad. En este sentido, </w:t>
      </w:r>
      <w:r w:rsidR="00B43783" w:rsidRPr="00964988">
        <w:rPr>
          <w:rFonts w:eastAsia="Arial" w:cs="Arial"/>
          <w:color w:val="000000"/>
          <w:szCs w:val="24"/>
        </w:rPr>
        <w:t>e</w:t>
      </w:r>
      <w:r w:rsidR="00F17144" w:rsidRPr="00964988">
        <w:rPr>
          <w:rFonts w:eastAsia="Arial" w:cs="Arial"/>
          <w:color w:val="000000"/>
          <w:szCs w:val="24"/>
        </w:rPr>
        <w:t>l artículo 9° de la Ley General de Derechos Lingüísticos de los Pueblos Indígenas dispone</w:t>
      </w:r>
      <w:r w:rsidRPr="00964988">
        <w:rPr>
          <w:rFonts w:eastAsia="Arial" w:cs="Arial"/>
          <w:color w:val="000000"/>
          <w:szCs w:val="24"/>
        </w:rPr>
        <w:t>n</w:t>
      </w:r>
      <w:r w:rsidR="00F17144" w:rsidRPr="00964988">
        <w:rPr>
          <w:rFonts w:eastAsia="Arial" w:cs="Arial"/>
          <w:color w:val="000000"/>
          <w:szCs w:val="24"/>
        </w:rPr>
        <w:t xml:space="preserve"> que las personas indígenas tienen derecho a comunicarse en su lengua, sin restricciones, en el ámbito público y privado, así como a recibir servicios e información del estado en su propia lengua</w:t>
      </w:r>
      <w:r w:rsidR="00033997">
        <w:t>.</w:t>
      </w:r>
    </w:p>
    <w:p w14:paraId="0E2739AF" w14:textId="211A5E8F" w:rsidR="00C74908" w:rsidRPr="00B43783" w:rsidRDefault="00033997" w:rsidP="00432633">
      <w:pPr>
        <w:spacing w:after="0" w:line="276" w:lineRule="auto"/>
        <w:ind w:left="720"/>
        <w:rPr>
          <w:rFonts w:eastAsia="Arial" w:cs="Arial"/>
          <w:color w:val="000000"/>
          <w:szCs w:val="24"/>
        </w:rPr>
      </w:pPr>
      <w:r>
        <w:t xml:space="preserve"> </w:t>
      </w:r>
    </w:p>
    <w:p w14:paraId="58A919BD" w14:textId="4DFB44DD" w:rsidR="00C74908" w:rsidRPr="00D333ED" w:rsidRDefault="00B43783" w:rsidP="00432633">
      <w:pPr>
        <w:numPr>
          <w:ilvl w:val="0"/>
          <w:numId w:val="2"/>
        </w:numPr>
        <w:spacing w:after="0" w:line="276" w:lineRule="auto"/>
        <w:rPr>
          <w:rFonts w:eastAsia="Arial" w:cs="Arial"/>
          <w:color w:val="000000"/>
          <w:szCs w:val="24"/>
        </w:rPr>
      </w:pPr>
      <w:r w:rsidRPr="008031BE">
        <w:rPr>
          <w:rFonts w:eastAsia="Arial" w:cs="Arial"/>
          <w:color w:val="000000"/>
          <w:szCs w:val="24"/>
        </w:rPr>
        <w:t xml:space="preserve">En consecuencia, </w:t>
      </w:r>
      <w:r w:rsidR="00DD3F40">
        <w:rPr>
          <w:rFonts w:eastAsia="Arial" w:cs="Arial"/>
          <w:color w:val="000000"/>
          <w:szCs w:val="24"/>
        </w:rPr>
        <w:t>se establece que</w:t>
      </w:r>
      <w:r w:rsidR="001609DC">
        <w:rPr>
          <w:rFonts w:eastAsia="Arial" w:cs="Arial"/>
          <w:color w:val="000000"/>
          <w:szCs w:val="24"/>
        </w:rPr>
        <w:t xml:space="preserve"> el IEEPCO, conforme a su capacidad presupuestaria y técnica, realice </w:t>
      </w:r>
      <w:r w:rsidRPr="008031BE">
        <w:rPr>
          <w:rFonts w:eastAsia="Arial" w:cs="Arial"/>
          <w:color w:val="000000"/>
          <w:szCs w:val="24"/>
        </w:rPr>
        <w:t>la traducción y difusión en lenguas indígenas p</w:t>
      </w:r>
      <w:r w:rsidR="0072033A">
        <w:rPr>
          <w:rFonts w:eastAsia="Arial" w:cs="Arial"/>
          <w:color w:val="000000"/>
          <w:szCs w:val="24"/>
        </w:rPr>
        <w:t>resentes</w:t>
      </w:r>
      <w:r w:rsidRPr="008031BE">
        <w:rPr>
          <w:rFonts w:eastAsia="Arial" w:cs="Arial"/>
          <w:color w:val="000000"/>
          <w:szCs w:val="24"/>
        </w:rPr>
        <w:t xml:space="preserve"> en el Estado de Oaxaca</w:t>
      </w:r>
      <w:r w:rsidR="001609DC">
        <w:rPr>
          <w:rFonts w:eastAsia="Arial" w:cs="Arial"/>
          <w:color w:val="000000"/>
          <w:szCs w:val="24"/>
        </w:rPr>
        <w:t xml:space="preserve"> </w:t>
      </w:r>
      <w:r w:rsidRPr="008031BE">
        <w:rPr>
          <w:rFonts w:eastAsia="Arial" w:cs="Arial"/>
          <w:color w:val="000000"/>
          <w:szCs w:val="24"/>
        </w:rPr>
        <w:t xml:space="preserve">de la presente </w:t>
      </w:r>
      <w:r w:rsidR="00DD3F40">
        <w:rPr>
          <w:rFonts w:eastAsia="Arial" w:cs="Arial"/>
          <w:color w:val="000000"/>
          <w:szCs w:val="24"/>
        </w:rPr>
        <w:t>C</w:t>
      </w:r>
      <w:r w:rsidRPr="008031BE">
        <w:rPr>
          <w:rFonts w:eastAsia="Arial" w:cs="Arial"/>
          <w:color w:val="000000"/>
          <w:szCs w:val="24"/>
        </w:rPr>
        <w:t>onvocatoria de observación</w:t>
      </w:r>
      <w:r w:rsidR="00554141">
        <w:rPr>
          <w:rFonts w:eastAsia="Arial" w:cs="Arial"/>
          <w:color w:val="000000"/>
          <w:szCs w:val="24"/>
        </w:rPr>
        <w:t xml:space="preserve">. Lo anterior, </w:t>
      </w:r>
      <w:r w:rsidRPr="008031BE">
        <w:rPr>
          <w:rFonts w:eastAsia="Arial" w:cs="Arial"/>
          <w:color w:val="000000"/>
          <w:szCs w:val="24"/>
        </w:rPr>
        <w:t xml:space="preserve">representa </w:t>
      </w:r>
      <w:r w:rsidRPr="004B60BF">
        <w:rPr>
          <w:rFonts w:eastAsia="Arial" w:cs="Arial"/>
          <w:bCs/>
          <w:color w:val="000000"/>
          <w:szCs w:val="24"/>
        </w:rPr>
        <w:t>una medida razonable, necesaria y proporcional</w:t>
      </w:r>
      <w:r w:rsidRPr="008031BE">
        <w:rPr>
          <w:rFonts w:eastAsia="Arial" w:cs="Arial"/>
          <w:color w:val="000000"/>
          <w:szCs w:val="24"/>
        </w:rPr>
        <w:t xml:space="preserve"> que contribuye a garantizar la participación informada de las personas indígenas, y a evitar la </w:t>
      </w:r>
      <w:r w:rsidR="001609DC" w:rsidRPr="008031BE">
        <w:rPr>
          <w:rFonts w:eastAsia="Arial" w:cs="Arial"/>
          <w:color w:val="000000"/>
          <w:szCs w:val="24"/>
        </w:rPr>
        <w:t>exclusión</w:t>
      </w:r>
      <w:r w:rsidR="001609DC">
        <w:rPr>
          <w:rFonts w:eastAsia="Arial" w:cs="Arial"/>
          <w:color w:val="000000"/>
          <w:szCs w:val="24"/>
        </w:rPr>
        <w:t xml:space="preserve"> y</w:t>
      </w:r>
      <w:r w:rsidR="008031BE">
        <w:rPr>
          <w:rFonts w:eastAsia="Arial" w:cs="Arial"/>
          <w:color w:val="000000"/>
          <w:szCs w:val="24"/>
        </w:rPr>
        <w:t xml:space="preserve"> el no ejercicio de sus derechos político electorales en el sistema electoral mexicano. </w:t>
      </w:r>
      <w:r w:rsidR="00E1568D">
        <w:rPr>
          <w:rFonts w:eastAsia="Arial" w:cs="Arial"/>
          <w:color w:val="000000"/>
          <w:szCs w:val="24"/>
        </w:rPr>
        <w:t xml:space="preserve">Dicha convocatoria deberá difundirse </w:t>
      </w:r>
      <w:r w:rsidR="00442401">
        <w:rPr>
          <w:rFonts w:eastAsia="Arial" w:cs="Arial"/>
          <w:color w:val="000000"/>
          <w:szCs w:val="24"/>
        </w:rPr>
        <w:t xml:space="preserve">con la coadyuvancia de </w:t>
      </w:r>
      <w:r w:rsidR="00442401" w:rsidRPr="00650E2B">
        <w:rPr>
          <w:rFonts w:eastAsia="Arial" w:cs="Arial"/>
          <w:color w:val="000000"/>
          <w:szCs w:val="24"/>
        </w:rPr>
        <w:t>los C</w:t>
      </w:r>
      <w:r w:rsidR="004F46B9" w:rsidRPr="00650E2B">
        <w:rPr>
          <w:rFonts w:eastAsia="Arial" w:cs="Arial"/>
          <w:color w:val="000000"/>
          <w:szCs w:val="24"/>
        </w:rPr>
        <w:t xml:space="preserve">D </w:t>
      </w:r>
      <w:r w:rsidR="00442401" w:rsidRPr="00650E2B">
        <w:rPr>
          <w:rFonts w:eastAsia="Arial" w:cs="Arial"/>
          <w:color w:val="000000"/>
          <w:szCs w:val="24"/>
        </w:rPr>
        <w:t>que</w:t>
      </w:r>
      <w:r w:rsidR="00CB318A">
        <w:rPr>
          <w:rFonts w:eastAsia="Arial" w:cs="Arial"/>
          <w:color w:val="000000"/>
          <w:szCs w:val="24"/>
        </w:rPr>
        <w:t xml:space="preserve"> se</w:t>
      </w:r>
      <w:r w:rsidR="00442401">
        <w:rPr>
          <w:rFonts w:eastAsia="Arial" w:cs="Arial"/>
          <w:color w:val="000000"/>
          <w:szCs w:val="24"/>
        </w:rPr>
        <w:t xml:space="preserve"> instalará</w:t>
      </w:r>
      <w:r w:rsidR="00CB318A">
        <w:rPr>
          <w:rFonts w:eastAsia="Arial" w:cs="Arial"/>
          <w:color w:val="000000"/>
          <w:szCs w:val="24"/>
        </w:rPr>
        <w:t>n</w:t>
      </w:r>
      <w:r w:rsidR="00442401">
        <w:rPr>
          <w:rFonts w:eastAsia="Arial" w:cs="Arial"/>
          <w:color w:val="000000"/>
          <w:szCs w:val="24"/>
        </w:rPr>
        <w:t xml:space="preserve"> en el marco de este proceso de Revocación de Mandato. </w:t>
      </w:r>
    </w:p>
    <w:p w14:paraId="664EC9F8" w14:textId="77777777" w:rsidR="00033997" w:rsidRPr="00033997" w:rsidRDefault="00033997" w:rsidP="00432633">
      <w:pPr>
        <w:pStyle w:val="Prrafodelista"/>
        <w:spacing w:line="276" w:lineRule="auto"/>
        <w:rPr>
          <w:rFonts w:eastAsia="Arial" w:cs="Arial"/>
          <w:color w:val="000000"/>
          <w:szCs w:val="24"/>
        </w:rPr>
      </w:pPr>
    </w:p>
    <w:p w14:paraId="0CECE165" w14:textId="208BBD8B" w:rsidR="00D00014" w:rsidRPr="00D00014" w:rsidRDefault="00D00014" w:rsidP="00432633">
      <w:pPr>
        <w:pStyle w:val="Prrafodelista"/>
        <w:numPr>
          <w:ilvl w:val="0"/>
          <w:numId w:val="2"/>
        </w:numPr>
        <w:spacing w:line="276" w:lineRule="auto"/>
        <w:rPr>
          <w:rFonts w:eastAsia="Arial" w:cs="Arial"/>
          <w:color w:val="000000"/>
          <w:szCs w:val="24"/>
        </w:rPr>
      </w:pPr>
      <w:r>
        <w:rPr>
          <w:rFonts w:eastAsia="Arial" w:cs="Arial"/>
          <w:color w:val="000000"/>
          <w:szCs w:val="24"/>
        </w:rPr>
        <w:t xml:space="preserve">Por lo que hace a los derechos de las personas con discapacidad, </w:t>
      </w:r>
      <w:r w:rsidR="00780FD7">
        <w:rPr>
          <w:rFonts w:eastAsia="Arial" w:cs="Arial"/>
          <w:color w:val="000000"/>
          <w:szCs w:val="24"/>
        </w:rPr>
        <w:t>l</w:t>
      </w:r>
      <w:r w:rsidRPr="00D00014">
        <w:rPr>
          <w:rFonts w:eastAsia="Arial" w:cs="Arial"/>
          <w:color w:val="000000"/>
          <w:szCs w:val="24"/>
        </w:rPr>
        <w:t xml:space="preserve">a </w:t>
      </w:r>
      <w:r w:rsidR="000E45A6">
        <w:rPr>
          <w:rFonts w:eastAsia="Arial" w:cs="Arial"/>
          <w:color w:val="000000"/>
          <w:szCs w:val="24"/>
        </w:rPr>
        <w:t>C</w:t>
      </w:r>
      <w:r w:rsidRPr="00D00014">
        <w:rPr>
          <w:rFonts w:eastAsia="Arial" w:cs="Arial"/>
          <w:color w:val="000000"/>
          <w:szCs w:val="24"/>
        </w:rPr>
        <w:t>onvocatoria deberá contar con una versión accesible en sistema Braille, en cumplim</w:t>
      </w:r>
      <w:r w:rsidR="00780FD7">
        <w:rPr>
          <w:rFonts w:eastAsia="Arial" w:cs="Arial"/>
          <w:color w:val="000000"/>
          <w:szCs w:val="24"/>
        </w:rPr>
        <w:t>ien</w:t>
      </w:r>
      <w:r w:rsidRPr="00D00014">
        <w:rPr>
          <w:rFonts w:eastAsia="Arial" w:cs="Arial"/>
          <w:color w:val="000000"/>
          <w:szCs w:val="24"/>
        </w:rPr>
        <w:t>to de la sentencia dictada por el Tribunal Electoral del Estado de Oaxaca en el expediente JDC/264/2021, que ordenó a este Instituto realizar ajustes razonables idóneos y suficientes para que la información electoral sea accesible a personas con discapacidad visual, desde baja visión moderada hasta ceguera total.</w:t>
      </w:r>
    </w:p>
    <w:p w14:paraId="768F94D0" w14:textId="77777777" w:rsidR="00D00014" w:rsidRPr="00D00014" w:rsidRDefault="00D00014" w:rsidP="00432633">
      <w:pPr>
        <w:pStyle w:val="Prrafodelista"/>
        <w:spacing w:line="276" w:lineRule="auto"/>
        <w:rPr>
          <w:rFonts w:eastAsia="Arial" w:cs="Arial"/>
          <w:color w:val="000000"/>
          <w:szCs w:val="24"/>
        </w:rPr>
      </w:pPr>
    </w:p>
    <w:p w14:paraId="64437FD5" w14:textId="3A9D771C" w:rsidR="001D0438" w:rsidRDefault="00D00014" w:rsidP="00432633">
      <w:pPr>
        <w:pStyle w:val="Prrafodelista"/>
        <w:numPr>
          <w:ilvl w:val="0"/>
          <w:numId w:val="2"/>
        </w:numPr>
        <w:spacing w:line="276" w:lineRule="auto"/>
        <w:rPr>
          <w:rFonts w:eastAsia="Arial" w:cs="Arial"/>
          <w:color w:val="000000"/>
          <w:szCs w:val="24"/>
        </w:rPr>
      </w:pPr>
      <w:r w:rsidRPr="00D00014">
        <w:rPr>
          <w:rFonts w:eastAsia="Arial" w:cs="Arial"/>
          <w:color w:val="000000"/>
          <w:szCs w:val="24"/>
        </w:rPr>
        <w:t xml:space="preserve">Asimismo, </w:t>
      </w:r>
      <w:r w:rsidR="003C3268">
        <w:rPr>
          <w:rFonts w:eastAsia="Arial" w:cs="Arial"/>
          <w:color w:val="000000"/>
          <w:szCs w:val="24"/>
        </w:rPr>
        <w:t xml:space="preserve">conforme a la capacidad técnica y presupuestaria del IEEPCO, </w:t>
      </w:r>
      <w:r w:rsidR="00300CA3" w:rsidRPr="7A35F80D">
        <w:rPr>
          <w:rFonts w:eastAsia="Arial" w:cs="Arial"/>
        </w:rPr>
        <w:t xml:space="preserve">se observarán los estándares establecidos por la Sala Superior del Tribunal Electoral del Poder Judicial de la Federación al resolver los juicios ciudadanos </w:t>
      </w:r>
      <w:r w:rsidR="00300CA3" w:rsidRPr="7A35F80D">
        <w:rPr>
          <w:rFonts w:cs="Arial"/>
        </w:rPr>
        <w:t xml:space="preserve">SUP-JDC-220/2023, </w:t>
      </w:r>
      <w:r w:rsidR="00300CA3" w:rsidRPr="7A35F80D">
        <w:rPr>
          <w:rFonts w:eastAsia="Arial" w:cs="Arial"/>
        </w:rPr>
        <w:t xml:space="preserve">en los que se determinó que las autoridades electorales deben implementar accesibilidad reforzada, formatos alternativos y ajustes razonables </w:t>
      </w:r>
      <w:r w:rsidRPr="00D00014">
        <w:rPr>
          <w:rFonts w:eastAsia="Arial" w:cs="Arial"/>
          <w:color w:val="000000"/>
          <w:szCs w:val="24"/>
        </w:rPr>
        <w:t>necesarios para garantizar el ejercicio de los derechos político-electorales de las personas con discapacidad.</w:t>
      </w:r>
    </w:p>
    <w:p w14:paraId="728B8DA5" w14:textId="77777777" w:rsidR="001D0438" w:rsidRDefault="001D0438" w:rsidP="00432633">
      <w:pPr>
        <w:pStyle w:val="Prrafodelista"/>
        <w:spacing w:line="276" w:lineRule="auto"/>
        <w:rPr>
          <w:rFonts w:eastAsia="Arial" w:cs="Arial"/>
          <w:color w:val="000000"/>
          <w:szCs w:val="24"/>
        </w:rPr>
      </w:pPr>
    </w:p>
    <w:p w14:paraId="4287C95B" w14:textId="786FA455" w:rsidR="00EA67F5" w:rsidRPr="0001001A" w:rsidRDefault="009B5509" w:rsidP="00432633">
      <w:pPr>
        <w:pStyle w:val="Prrafodelista"/>
        <w:numPr>
          <w:ilvl w:val="0"/>
          <w:numId w:val="2"/>
        </w:numPr>
        <w:spacing w:line="276" w:lineRule="auto"/>
        <w:rPr>
          <w:rFonts w:eastAsia="Arial" w:cs="Arial"/>
          <w:color w:val="000000"/>
          <w:szCs w:val="24"/>
        </w:rPr>
      </w:pPr>
      <w:r w:rsidRPr="0001001A">
        <w:rPr>
          <w:rFonts w:cs="Arial"/>
          <w:szCs w:val="24"/>
        </w:rPr>
        <w:lastRenderedPageBreak/>
        <w:t>Para l</w:t>
      </w:r>
      <w:r w:rsidR="00744299" w:rsidRPr="0001001A">
        <w:rPr>
          <w:rFonts w:cs="Arial"/>
          <w:szCs w:val="24"/>
        </w:rPr>
        <w:t>a</w:t>
      </w:r>
      <w:r w:rsidRPr="0001001A">
        <w:rPr>
          <w:rFonts w:cs="Arial"/>
          <w:szCs w:val="24"/>
        </w:rPr>
        <w:t xml:space="preserve"> difusión de la Convocatoria de observación</w:t>
      </w:r>
      <w:r w:rsidR="00525BD4" w:rsidRPr="0001001A">
        <w:rPr>
          <w:rFonts w:cs="Arial"/>
          <w:szCs w:val="24"/>
        </w:rPr>
        <w:t>,</w:t>
      </w:r>
      <w:r w:rsidRPr="0001001A">
        <w:rPr>
          <w:rFonts w:cs="Arial"/>
          <w:szCs w:val="24"/>
        </w:rPr>
        <w:t xml:space="preserve"> </w:t>
      </w:r>
      <w:r w:rsidR="0038169F" w:rsidRPr="0001001A">
        <w:rPr>
          <w:rFonts w:cs="Arial"/>
          <w:szCs w:val="24"/>
        </w:rPr>
        <w:t xml:space="preserve">la </w:t>
      </w:r>
      <w:r w:rsidR="00E37C34" w:rsidRPr="0001001A">
        <w:rPr>
          <w:rFonts w:cs="Arial"/>
          <w:szCs w:val="24"/>
        </w:rPr>
        <w:t xml:space="preserve">SE, la DEECyPC, la UTCS, y </w:t>
      </w:r>
      <w:r w:rsidR="00E37C34" w:rsidRPr="00650E2B">
        <w:rPr>
          <w:rFonts w:cs="Arial"/>
          <w:szCs w:val="24"/>
        </w:rPr>
        <w:t xml:space="preserve">los </w:t>
      </w:r>
      <w:r w:rsidR="00D336A0" w:rsidRPr="00650E2B">
        <w:rPr>
          <w:rFonts w:cs="Arial"/>
          <w:szCs w:val="24"/>
        </w:rPr>
        <w:t>CD</w:t>
      </w:r>
      <w:r w:rsidRPr="0001001A">
        <w:rPr>
          <w:rFonts w:cs="Arial"/>
          <w:szCs w:val="24"/>
        </w:rPr>
        <w:t xml:space="preserve"> </w:t>
      </w:r>
      <w:r w:rsidR="00FC4BDA" w:rsidRPr="0001001A">
        <w:rPr>
          <w:rFonts w:cs="Arial"/>
          <w:szCs w:val="24"/>
        </w:rPr>
        <w:t xml:space="preserve">deberán implementar una </w:t>
      </w:r>
      <w:r w:rsidR="00FC4BDA" w:rsidRPr="0001001A">
        <w:rPr>
          <w:rStyle w:val="Textoennegrita"/>
          <w:rFonts w:cs="Arial"/>
          <w:b w:val="0"/>
          <w:bCs w:val="0"/>
          <w:szCs w:val="24"/>
        </w:rPr>
        <w:t>campaña integral de difusión</w:t>
      </w:r>
      <w:r w:rsidR="00FC4BDA" w:rsidRPr="0001001A">
        <w:rPr>
          <w:rFonts w:cs="Arial"/>
          <w:szCs w:val="24"/>
        </w:rPr>
        <w:t>, accesible, incluyente</w:t>
      </w:r>
      <w:r w:rsidR="00081456" w:rsidRPr="0001001A">
        <w:rPr>
          <w:rFonts w:cs="Arial"/>
          <w:szCs w:val="24"/>
        </w:rPr>
        <w:t xml:space="preserve"> e</w:t>
      </w:r>
      <w:r w:rsidR="00FC4BDA" w:rsidRPr="0001001A">
        <w:rPr>
          <w:rFonts w:cs="Arial"/>
          <w:szCs w:val="24"/>
        </w:rPr>
        <w:t xml:space="preserve"> intercultural</w:t>
      </w:r>
      <w:r w:rsidR="00081456" w:rsidRPr="0001001A">
        <w:rPr>
          <w:rFonts w:cs="Arial"/>
          <w:szCs w:val="24"/>
        </w:rPr>
        <w:t xml:space="preserve">, que contemple al menos las </w:t>
      </w:r>
      <w:r w:rsidR="00605115" w:rsidRPr="0001001A">
        <w:rPr>
          <w:rFonts w:cs="Arial"/>
          <w:szCs w:val="24"/>
        </w:rPr>
        <w:t>siguientes</w:t>
      </w:r>
      <w:r w:rsidR="00081456" w:rsidRPr="0001001A">
        <w:rPr>
          <w:rFonts w:cs="Arial"/>
          <w:szCs w:val="24"/>
        </w:rPr>
        <w:t xml:space="preserve"> </w:t>
      </w:r>
      <w:r w:rsidR="00605115" w:rsidRPr="0001001A">
        <w:rPr>
          <w:rFonts w:cs="Arial"/>
          <w:szCs w:val="24"/>
        </w:rPr>
        <w:t>acciones:</w:t>
      </w:r>
      <w:r w:rsidR="00FC4BDA" w:rsidRPr="0001001A">
        <w:rPr>
          <w:rFonts w:cs="Arial"/>
          <w:szCs w:val="24"/>
        </w:rPr>
        <w:t xml:space="preserve"> </w:t>
      </w:r>
    </w:p>
    <w:p w14:paraId="6A901907" w14:textId="022DB427" w:rsidR="006E6DFD" w:rsidRPr="0001001A" w:rsidRDefault="006E6DFD" w:rsidP="00432633">
      <w:pPr>
        <w:pStyle w:val="NormalWeb"/>
        <w:spacing w:line="276" w:lineRule="auto"/>
        <w:ind w:left="720"/>
        <w:jc w:val="both"/>
        <w:rPr>
          <w:rStyle w:val="Textoennegrita"/>
          <w:rFonts w:ascii="Arial" w:hAnsi="Arial" w:cs="Arial"/>
          <w:b w:val="0"/>
          <w:bCs w:val="0"/>
        </w:rPr>
      </w:pPr>
      <w:r w:rsidRPr="0001001A">
        <w:rPr>
          <w:rStyle w:val="Textoennegrita"/>
          <w:rFonts w:ascii="Arial" w:hAnsi="Arial" w:cs="Arial"/>
        </w:rPr>
        <w:t xml:space="preserve">Garantías para las personas </w:t>
      </w:r>
      <w:r w:rsidR="003B3AD0">
        <w:rPr>
          <w:rStyle w:val="Textoennegrita"/>
          <w:rFonts w:ascii="Arial" w:hAnsi="Arial" w:cs="Arial"/>
        </w:rPr>
        <w:t xml:space="preserve">indígenas </w:t>
      </w:r>
      <w:r w:rsidRPr="0001001A">
        <w:rPr>
          <w:rStyle w:val="Textoennegrita"/>
          <w:rFonts w:ascii="Arial" w:hAnsi="Arial" w:cs="Arial"/>
        </w:rPr>
        <w:t>y afromexicanas.</w:t>
      </w:r>
    </w:p>
    <w:p w14:paraId="3D18F88E" w14:textId="2BF3420F" w:rsidR="006E6DFD" w:rsidRPr="00650E2B" w:rsidRDefault="006E6DFD" w:rsidP="00432633">
      <w:pPr>
        <w:pStyle w:val="NormalWeb"/>
        <w:numPr>
          <w:ilvl w:val="0"/>
          <w:numId w:val="42"/>
        </w:numPr>
        <w:spacing w:line="276" w:lineRule="auto"/>
        <w:jc w:val="both"/>
        <w:rPr>
          <w:rFonts w:ascii="Arial" w:hAnsi="Arial" w:cs="Arial"/>
        </w:rPr>
      </w:pPr>
      <w:r w:rsidRPr="00650E2B">
        <w:rPr>
          <w:rFonts w:ascii="Arial" w:hAnsi="Arial" w:cs="Arial"/>
        </w:rPr>
        <w:t>La DEECyPC deberá coordinar la traducción y difusión de la convocatoria en las lenguas indígenas predominantes en el territorio estatal, conforme a la capacidad presupuestaria, utilizando canales comunitarios, autoridades tradicionales y radios loca</w:t>
      </w:r>
      <w:r w:rsidRPr="00172960">
        <w:rPr>
          <w:rFonts w:ascii="Arial" w:hAnsi="Arial" w:cs="Arial"/>
        </w:rPr>
        <w:t xml:space="preserve">les. </w:t>
      </w:r>
      <w:bookmarkStart w:id="5" w:name="_Hlk216357277"/>
      <w:r w:rsidRPr="00172960">
        <w:rPr>
          <w:rFonts w:ascii="Arial" w:hAnsi="Arial" w:cs="Arial"/>
        </w:rPr>
        <w:t>Para tal efecto, la DEECyPC se pondrá en contacto para concretar la difusión de la convocatoria con canales comunitarios, autoridades tradicionales y radios locales.</w:t>
      </w:r>
    </w:p>
    <w:p w14:paraId="15C348AE" w14:textId="3B2BB9B2" w:rsidR="00650E2B" w:rsidRPr="00613572" w:rsidRDefault="006E6DFD" w:rsidP="00650E2B">
      <w:pPr>
        <w:pStyle w:val="NormalWeb"/>
        <w:numPr>
          <w:ilvl w:val="0"/>
          <w:numId w:val="42"/>
        </w:numPr>
        <w:jc w:val="both"/>
        <w:rPr>
          <w:rFonts w:ascii="Arial" w:hAnsi="Arial" w:cs="Arial"/>
        </w:rPr>
      </w:pPr>
      <w:r w:rsidRPr="00650E2B">
        <w:rPr>
          <w:rFonts w:ascii="Arial" w:hAnsi="Arial" w:cs="Arial"/>
        </w:rPr>
        <w:t xml:space="preserve">La DEECyPC, generará insumos </w:t>
      </w:r>
      <w:r w:rsidR="00613572">
        <w:rPr>
          <w:rFonts w:ascii="Arial" w:hAnsi="Arial" w:cs="Arial"/>
        </w:rPr>
        <w:t xml:space="preserve">el diseño de </w:t>
      </w:r>
      <w:r w:rsidRPr="00650E2B">
        <w:rPr>
          <w:rFonts w:ascii="Arial" w:hAnsi="Arial" w:cs="Arial"/>
        </w:rPr>
        <w:t xml:space="preserve">piezas específicas para redes sociales con pertinencia </w:t>
      </w:r>
      <w:r w:rsidR="006E66C6">
        <w:rPr>
          <w:rFonts w:ascii="Arial" w:hAnsi="Arial" w:cs="Arial"/>
        </w:rPr>
        <w:t>intercultural</w:t>
      </w:r>
      <w:r w:rsidR="00613572">
        <w:rPr>
          <w:rFonts w:ascii="Arial" w:hAnsi="Arial" w:cs="Arial"/>
        </w:rPr>
        <w:t xml:space="preserve">. La </w:t>
      </w:r>
      <w:r w:rsidRPr="00650E2B">
        <w:rPr>
          <w:rFonts w:ascii="Arial" w:hAnsi="Arial" w:cs="Arial"/>
        </w:rPr>
        <w:t xml:space="preserve">UTCS </w:t>
      </w:r>
      <w:r w:rsidR="00613572">
        <w:rPr>
          <w:rFonts w:ascii="Arial" w:hAnsi="Arial" w:cs="Arial"/>
        </w:rPr>
        <w:t>realizará</w:t>
      </w:r>
      <w:r w:rsidRPr="00650E2B">
        <w:rPr>
          <w:rFonts w:ascii="Arial" w:hAnsi="Arial" w:cs="Arial"/>
        </w:rPr>
        <w:t xml:space="preserve"> el diseño de dichas piezas.</w:t>
      </w:r>
      <w:bookmarkEnd w:id="5"/>
    </w:p>
    <w:p w14:paraId="240982DE" w14:textId="77777777" w:rsidR="0001001A" w:rsidRPr="00650E2B" w:rsidRDefault="0001001A" w:rsidP="0001001A">
      <w:pPr>
        <w:pStyle w:val="NormalWeb"/>
        <w:ind w:left="720"/>
        <w:jc w:val="both"/>
        <w:rPr>
          <w:rStyle w:val="Textoennegrita"/>
          <w:rFonts w:ascii="Arial" w:hAnsi="Arial" w:cs="Arial"/>
          <w:b w:val="0"/>
          <w:bCs w:val="0"/>
        </w:rPr>
      </w:pPr>
      <w:r w:rsidRPr="00650E2B">
        <w:rPr>
          <w:rStyle w:val="Textoennegrita"/>
          <w:rFonts w:ascii="Arial" w:hAnsi="Arial" w:cs="Arial"/>
        </w:rPr>
        <w:t>Garantías para personas con discapacidad.</w:t>
      </w:r>
    </w:p>
    <w:p w14:paraId="2D520812" w14:textId="77777777" w:rsidR="0001001A" w:rsidRPr="00650E2B" w:rsidRDefault="0001001A" w:rsidP="0001001A">
      <w:pPr>
        <w:pStyle w:val="NormalWeb"/>
        <w:numPr>
          <w:ilvl w:val="0"/>
          <w:numId w:val="42"/>
        </w:numPr>
        <w:jc w:val="both"/>
        <w:rPr>
          <w:rFonts w:ascii="Arial" w:hAnsi="Arial" w:cs="Arial"/>
        </w:rPr>
      </w:pPr>
      <w:r w:rsidRPr="00650E2B">
        <w:rPr>
          <w:rFonts w:ascii="Arial" w:hAnsi="Arial" w:cs="Arial"/>
        </w:rPr>
        <w:t>La DEECyPC deberá coordinar la traducción y difusión de la convocatoria en el sistema Braille. Para tal efecto, la DEECyPC se pondrá en contacto para concretar la difusión de la convocatoria con aliados estratégicos.</w:t>
      </w:r>
    </w:p>
    <w:p w14:paraId="5AA8CC9E" w14:textId="07598EB2" w:rsidR="0001001A" w:rsidRPr="00650E2B" w:rsidRDefault="0001001A" w:rsidP="006D70D9">
      <w:pPr>
        <w:pStyle w:val="NormalWeb"/>
        <w:ind w:left="720"/>
        <w:rPr>
          <w:rStyle w:val="Textoennegrita"/>
          <w:rFonts w:ascii="Arial" w:hAnsi="Arial" w:cs="Arial"/>
          <w:b w:val="0"/>
          <w:bCs w:val="0"/>
        </w:rPr>
      </w:pPr>
      <w:r w:rsidRPr="0001001A">
        <w:rPr>
          <w:rStyle w:val="Textoennegrita"/>
          <w:rFonts w:ascii="Arial" w:hAnsi="Arial" w:cs="Arial"/>
        </w:rPr>
        <w:t>Garantías para personas trans y de diversidad sexual.</w:t>
      </w:r>
    </w:p>
    <w:p w14:paraId="1BABD308" w14:textId="20315634" w:rsidR="00EA67F5" w:rsidRPr="00650E2B" w:rsidRDefault="00D17A27" w:rsidP="0001001A">
      <w:pPr>
        <w:pStyle w:val="NormalWeb"/>
        <w:numPr>
          <w:ilvl w:val="0"/>
          <w:numId w:val="42"/>
        </w:numPr>
        <w:jc w:val="both"/>
        <w:rPr>
          <w:rFonts w:ascii="Arial" w:hAnsi="Arial" w:cs="Arial"/>
        </w:rPr>
      </w:pPr>
      <w:r w:rsidRPr="00650E2B">
        <w:rPr>
          <w:rFonts w:ascii="Arial" w:hAnsi="Arial" w:cs="Arial"/>
        </w:rPr>
        <w:t>La DEECyPC d</w:t>
      </w:r>
      <w:r w:rsidR="00E37C34" w:rsidRPr="00650E2B">
        <w:rPr>
          <w:rFonts w:ascii="Arial" w:hAnsi="Arial" w:cs="Arial"/>
        </w:rPr>
        <w:t>eberá</w:t>
      </w:r>
      <w:r w:rsidR="00493705" w:rsidRPr="00650E2B">
        <w:rPr>
          <w:rFonts w:ascii="Arial" w:hAnsi="Arial" w:cs="Arial"/>
        </w:rPr>
        <w:t xml:space="preserve"> </w:t>
      </w:r>
      <w:r w:rsidR="003431BB" w:rsidRPr="00650E2B">
        <w:rPr>
          <w:rFonts w:ascii="Arial" w:hAnsi="Arial" w:cs="Arial"/>
        </w:rPr>
        <w:t xml:space="preserve">coordinarse con la UTCS para </w:t>
      </w:r>
      <w:r w:rsidR="00493705" w:rsidRPr="00650E2B">
        <w:rPr>
          <w:rFonts w:ascii="Arial" w:hAnsi="Arial" w:cs="Arial"/>
        </w:rPr>
        <w:t xml:space="preserve">elaborar </w:t>
      </w:r>
      <w:r w:rsidR="00804F6A" w:rsidRPr="00650E2B">
        <w:rPr>
          <w:rFonts w:ascii="Arial" w:hAnsi="Arial" w:cs="Arial"/>
        </w:rPr>
        <w:t>piezas específicas para redes sociales, para difundir</w:t>
      </w:r>
      <w:r w:rsidR="00FC4BDA" w:rsidRPr="00650E2B">
        <w:rPr>
          <w:rFonts w:ascii="Arial" w:hAnsi="Arial" w:cs="Arial"/>
        </w:rPr>
        <w:t xml:space="preserve"> </w:t>
      </w:r>
      <w:r w:rsidR="00804F6A" w:rsidRPr="00650E2B">
        <w:rPr>
          <w:rFonts w:ascii="Arial" w:hAnsi="Arial" w:cs="Arial"/>
        </w:rPr>
        <w:t xml:space="preserve">que </w:t>
      </w:r>
      <w:r w:rsidR="006D70D9">
        <w:rPr>
          <w:rFonts w:ascii="Arial" w:hAnsi="Arial" w:cs="Arial"/>
        </w:rPr>
        <w:t xml:space="preserve">en el marco de la implementación de la observación del proceso de Revocación de Mandato, </w:t>
      </w:r>
      <w:r w:rsidR="00804F6A" w:rsidRPr="00650E2B">
        <w:rPr>
          <w:rFonts w:ascii="Arial" w:hAnsi="Arial" w:cs="Arial"/>
        </w:rPr>
        <w:t>se garantizará</w:t>
      </w:r>
      <w:r w:rsidR="00EA67F5" w:rsidRPr="00650E2B">
        <w:rPr>
          <w:rFonts w:ascii="Arial" w:hAnsi="Arial" w:cs="Arial"/>
        </w:rPr>
        <w:t xml:space="preserve"> el</w:t>
      </w:r>
      <w:r w:rsidR="00FC4BDA" w:rsidRPr="00650E2B">
        <w:rPr>
          <w:rFonts w:ascii="Arial" w:hAnsi="Arial" w:cs="Arial"/>
        </w:rPr>
        <w:t xml:space="preserve"> respeto a la identidad y expresión de género, señalando que ninguna persona podrá ser cuestionada sobre su identidad o documentación al momento de solicitar su registro o participar como observadora</w:t>
      </w:r>
      <w:r w:rsidR="00B433E3" w:rsidRPr="00650E2B">
        <w:rPr>
          <w:rFonts w:ascii="Arial" w:hAnsi="Arial" w:cs="Arial"/>
        </w:rPr>
        <w:t xml:space="preserve">, </w:t>
      </w:r>
      <w:r w:rsidR="00FC4BDA" w:rsidRPr="00650E2B">
        <w:rPr>
          <w:rFonts w:ascii="Arial" w:hAnsi="Arial" w:cs="Arial"/>
        </w:rPr>
        <w:t xml:space="preserve">conforme al </w:t>
      </w:r>
      <w:r w:rsidR="00F60DA4" w:rsidRPr="00650E2B">
        <w:rPr>
          <w:rFonts w:ascii="Arial" w:hAnsi="Arial" w:cs="Arial"/>
        </w:rPr>
        <w:t>Protocolo para adoptar las medidas tendientes a garantizar a las personas trans el ejercicio del voto en igualdad de condiciones y sin discriminación en todos los tipos de elección y mecanismos de participación ciudadana del INE</w:t>
      </w:r>
      <w:r w:rsidR="005F189B">
        <w:rPr>
          <w:rFonts w:ascii="Arial" w:hAnsi="Arial" w:cs="Arial"/>
        </w:rPr>
        <w:t>.</w:t>
      </w:r>
      <w:r w:rsidR="00B6719A" w:rsidRPr="00650E2B">
        <w:rPr>
          <w:rStyle w:val="Refdenotaalpie"/>
          <w:rFonts w:ascii="Arial" w:hAnsi="Arial" w:cs="Arial"/>
        </w:rPr>
        <w:footnoteReference w:id="22"/>
      </w:r>
      <w:r w:rsidR="00F60DA4" w:rsidRPr="00650E2B">
        <w:rPr>
          <w:rFonts w:ascii="Arial" w:hAnsi="Arial" w:cs="Arial"/>
        </w:rPr>
        <w:t xml:space="preserve"> </w:t>
      </w:r>
    </w:p>
    <w:p w14:paraId="59D5DBB9" w14:textId="12714ACE" w:rsidR="007E55B5" w:rsidRPr="00ED3C61" w:rsidRDefault="009045F0" w:rsidP="00ED3C61">
      <w:pPr>
        <w:spacing w:after="0" w:line="276" w:lineRule="auto"/>
        <w:rPr>
          <w:rFonts w:cs="Arial"/>
          <w:b/>
          <w:bCs/>
          <w:szCs w:val="24"/>
        </w:rPr>
      </w:pPr>
      <w:r w:rsidRPr="005A109B">
        <w:rPr>
          <w:rFonts w:cs="Arial"/>
          <w:b/>
          <w:bCs/>
          <w:szCs w:val="24"/>
        </w:rPr>
        <w:t>Octavo</w:t>
      </w:r>
      <w:r w:rsidR="007E55B5" w:rsidRPr="005A109B">
        <w:rPr>
          <w:rFonts w:cs="Arial"/>
          <w:b/>
          <w:bCs/>
          <w:szCs w:val="24"/>
        </w:rPr>
        <w:t xml:space="preserve">. </w:t>
      </w:r>
      <w:r w:rsidR="007E55B5" w:rsidRPr="0090107E">
        <w:rPr>
          <w:rFonts w:cs="Arial"/>
          <w:b/>
          <w:bCs/>
          <w:szCs w:val="24"/>
        </w:rPr>
        <w:t>De la acreditación.</w:t>
      </w:r>
    </w:p>
    <w:p w14:paraId="53776704" w14:textId="77777777" w:rsidR="007E55B5" w:rsidRDefault="007E55B5" w:rsidP="007E55B5">
      <w:pPr>
        <w:pStyle w:val="Prrafodelista"/>
        <w:rPr>
          <w:rFonts w:eastAsia="Arial" w:cs="Arial"/>
          <w:color w:val="000000"/>
          <w:szCs w:val="24"/>
        </w:rPr>
      </w:pPr>
    </w:p>
    <w:p w14:paraId="6A874645" w14:textId="561FE7A4" w:rsidR="007E590A" w:rsidRPr="0041034F" w:rsidRDefault="007E590A" w:rsidP="00ED328D">
      <w:pPr>
        <w:pStyle w:val="Prrafodelista"/>
        <w:numPr>
          <w:ilvl w:val="0"/>
          <w:numId w:val="2"/>
        </w:numPr>
        <w:spacing w:line="276" w:lineRule="auto"/>
        <w:rPr>
          <w:rFonts w:eastAsia="Arial" w:cs="Arial"/>
          <w:color w:val="000000"/>
          <w:szCs w:val="24"/>
        </w:rPr>
      </w:pPr>
      <w:r>
        <w:t>La acreditación de las personas observadoras</w:t>
      </w:r>
      <w:r w:rsidR="002A45D0">
        <w:t>,</w:t>
      </w:r>
      <w:r>
        <w:t xml:space="preserve"> corresponderá al Consejo General</w:t>
      </w:r>
      <w:r w:rsidR="00E40766">
        <w:t xml:space="preserve">, </w:t>
      </w:r>
      <w:r>
        <w:t xml:space="preserve">de conformidad con lo dispuesto en el artículo 51 de la Ley de Revocación de Mandato para el Estado de Oaxaca; y </w:t>
      </w:r>
      <w:r w:rsidR="00333BB4">
        <w:t>la cláusula segunda, numeral 8</w:t>
      </w:r>
      <w:r w:rsidR="00FA7C6D">
        <w:t xml:space="preserve">, inciso a) del </w:t>
      </w:r>
      <w:r w:rsidR="00CD0940">
        <w:t>C</w:t>
      </w:r>
      <w:r w:rsidR="00FA7C6D">
        <w:t xml:space="preserve">onvenio </w:t>
      </w:r>
      <w:r w:rsidR="00CD0940">
        <w:t xml:space="preserve">General de Colaboración </w:t>
      </w:r>
      <w:r w:rsidR="00FA7C6D">
        <w:t>INE</w:t>
      </w:r>
      <w:r w:rsidR="00CD0940">
        <w:t>-IEEPCO</w:t>
      </w:r>
      <w:r w:rsidR="00FA7C6D">
        <w:t xml:space="preserve">. </w:t>
      </w:r>
    </w:p>
    <w:p w14:paraId="05EF5C0A" w14:textId="77777777" w:rsidR="0041034F" w:rsidRDefault="0041034F" w:rsidP="00ED328D">
      <w:pPr>
        <w:pStyle w:val="Prrafodelista"/>
        <w:spacing w:line="276" w:lineRule="auto"/>
      </w:pPr>
    </w:p>
    <w:p w14:paraId="21616D23" w14:textId="7712DC5F" w:rsidR="00734B9A" w:rsidRPr="00D73D9D" w:rsidRDefault="00CD0940" w:rsidP="00ED328D">
      <w:pPr>
        <w:pStyle w:val="Prrafodelista"/>
        <w:spacing w:line="276" w:lineRule="auto"/>
      </w:pPr>
      <w:r w:rsidRPr="00D73D9D">
        <w:lastRenderedPageBreak/>
        <w:t xml:space="preserve">Si bien </w:t>
      </w:r>
      <w:r w:rsidR="00734B9A" w:rsidRPr="00D73D9D">
        <w:t xml:space="preserve">la </w:t>
      </w:r>
      <w:r w:rsidRPr="00D73D9D">
        <w:t>LGIPE</w:t>
      </w:r>
      <w:r w:rsidR="00734B9A" w:rsidRPr="00D73D9D">
        <w:t xml:space="preserve"> y </w:t>
      </w:r>
      <w:r w:rsidR="00734B9A" w:rsidRPr="00650E2B">
        <w:t xml:space="preserve">el </w:t>
      </w:r>
      <w:r w:rsidR="0040534B" w:rsidRPr="00650E2B">
        <w:t>RE</w:t>
      </w:r>
      <w:r w:rsidR="00734B9A" w:rsidRPr="00D73D9D">
        <w:t xml:space="preserve"> prevén que los Consejos Distritales </w:t>
      </w:r>
      <w:r w:rsidRPr="00D73D9D">
        <w:t xml:space="preserve">aprueban la </w:t>
      </w:r>
      <w:r w:rsidR="00734B9A" w:rsidRPr="00D73D9D">
        <w:t>acredita</w:t>
      </w:r>
      <w:r w:rsidRPr="00D73D9D">
        <w:t>ción</w:t>
      </w:r>
      <w:r w:rsidR="00734B9A" w:rsidRPr="00D73D9D">
        <w:t xml:space="preserve"> a personas observadoras, dicha función </w:t>
      </w:r>
      <w:r w:rsidRPr="00D73D9D">
        <w:t xml:space="preserve">será realizada por el Consejo General </w:t>
      </w:r>
      <w:r w:rsidR="00734B9A" w:rsidRPr="00D73D9D">
        <w:t xml:space="preserve">atendiendo a la alta carga operativa que enfrentarán </w:t>
      </w:r>
      <w:r w:rsidR="00734B9A" w:rsidRPr="00650E2B">
        <w:t xml:space="preserve">los </w:t>
      </w:r>
      <w:r w:rsidR="0040534B" w:rsidRPr="00650E2B">
        <w:t xml:space="preserve">CD </w:t>
      </w:r>
      <w:r w:rsidR="00734B9A" w:rsidRPr="00650E2B">
        <w:t>en la organización del proceso de Revocación de Mandato, la concentración</w:t>
      </w:r>
      <w:r w:rsidR="00734B9A" w:rsidRPr="00D73D9D">
        <w:t xml:space="preserve"> de actividades técnico-operativas en plazos reducidos, y la necesidad de garantizar oportunidad, uniformidad, seguridad jurídica y trato igualitario en la resolución de todas las solicitudes de acreditación.</w:t>
      </w:r>
      <w:r w:rsidRPr="00D73D9D">
        <w:t xml:space="preserve"> Para tal efecto, </w:t>
      </w:r>
      <w:r w:rsidR="00D73D9D" w:rsidRPr="00D73D9D">
        <w:t xml:space="preserve">el Consejo General </w:t>
      </w:r>
      <w:r w:rsidRPr="00D73D9D">
        <w:t>contará con la asistencia operativa y técnica de la DEECyPC.</w:t>
      </w:r>
    </w:p>
    <w:p w14:paraId="31A48FB0" w14:textId="77777777" w:rsidR="00734B9A" w:rsidRPr="00D73D9D" w:rsidRDefault="00734B9A" w:rsidP="00ED328D">
      <w:pPr>
        <w:pStyle w:val="Prrafodelista"/>
        <w:spacing w:line="276" w:lineRule="auto"/>
      </w:pPr>
    </w:p>
    <w:p w14:paraId="32C142F1" w14:textId="6DD8E801" w:rsidR="0041034F" w:rsidRDefault="00734B9A" w:rsidP="00ED328D">
      <w:pPr>
        <w:pStyle w:val="Prrafodelista"/>
        <w:spacing w:line="276" w:lineRule="auto"/>
      </w:pPr>
      <w:r w:rsidRPr="00D73D9D">
        <w:t xml:space="preserve">En consecuencia, y con el fin de asegurar eficiencia administrativa, certidumbre institucional y cumplimiento estricto de los principios de legalidad y máxima publicidad, el Consejo General </w:t>
      </w:r>
      <w:r w:rsidR="00D73D9D">
        <w:t xml:space="preserve">conocerá y </w:t>
      </w:r>
      <w:r w:rsidRPr="00D73D9D">
        <w:t xml:space="preserve">resolverá de manera directa las solicitudes de acreditación </w:t>
      </w:r>
      <w:r w:rsidR="00C674F7">
        <w:t xml:space="preserve">para observación, </w:t>
      </w:r>
      <w:r w:rsidRPr="00D73D9D">
        <w:t>que se presenten durante el periodo establecido en la convocatori</w:t>
      </w:r>
      <w:r w:rsidR="00C674F7">
        <w:t>a.</w:t>
      </w:r>
    </w:p>
    <w:p w14:paraId="606B5071" w14:textId="77777777" w:rsidR="000E698B" w:rsidRPr="00FA7C6D" w:rsidRDefault="000E698B" w:rsidP="00734B9A">
      <w:pPr>
        <w:pStyle w:val="Prrafodelista"/>
        <w:rPr>
          <w:rFonts w:eastAsia="Arial" w:cs="Arial"/>
          <w:color w:val="000000"/>
          <w:szCs w:val="24"/>
        </w:rPr>
      </w:pPr>
    </w:p>
    <w:p w14:paraId="4160A32D" w14:textId="0B1ADBF4" w:rsidR="00AE56F9" w:rsidRPr="00AE56F9" w:rsidRDefault="00FA7C6D" w:rsidP="00AE56F9">
      <w:pPr>
        <w:pStyle w:val="Prrafodelista"/>
        <w:numPr>
          <w:ilvl w:val="0"/>
          <w:numId w:val="2"/>
        </w:numPr>
        <w:rPr>
          <w:rFonts w:eastAsia="Arial" w:cs="Arial"/>
          <w:color w:val="000000"/>
          <w:szCs w:val="24"/>
        </w:rPr>
      </w:pPr>
      <w:r>
        <w:t>Para tal efecto, el Consejo General podrá sesionar específicamente para resolver las solicitudes de acreditación que reciba el Instituto durante el periodo previsto en la convocatoria, o bien, podrá incluir dicho punto en el orden del día de las sesiones ordinarias o extraordinarias que celebre, garantizando en todo momento la oportunidad y certeza en el proceso de acreditación.</w:t>
      </w:r>
    </w:p>
    <w:p w14:paraId="398767D8" w14:textId="77777777" w:rsidR="000060B4" w:rsidRPr="00200675" w:rsidRDefault="000060B4" w:rsidP="000060B4">
      <w:pPr>
        <w:pStyle w:val="Prrafodelista"/>
        <w:rPr>
          <w:rFonts w:eastAsia="Arial" w:cs="Arial"/>
          <w:color w:val="000000"/>
          <w:szCs w:val="24"/>
        </w:rPr>
      </w:pPr>
    </w:p>
    <w:p w14:paraId="5FA0E6EF" w14:textId="5CC1C6D1" w:rsidR="00130A72" w:rsidRPr="007A0701" w:rsidRDefault="00200675" w:rsidP="00BA58AA">
      <w:pPr>
        <w:pStyle w:val="Prrafodelista"/>
        <w:numPr>
          <w:ilvl w:val="0"/>
          <w:numId w:val="2"/>
        </w:numPr>
        <w:rPr>
          <w:rFonts w:eastAsia="Arial" w:cs="Arial"/>
          <w:color w:val="000000"/>
          <w:szCs w:val="24"/>
        </w:rPr>
      </w:pPr>
      <w:r>
        <w:t xml:space="preserve">La resolución de las solicitudes de acreditación se sujetará a las reglas establecidas en la </w:t>
      </w:r>
      <w:r w:rsidR="00CD0940">
        <w:t>LGIPE</w:t>
      </w:r>
      <w:r>
        <w:t xml:space="preserve">, en el </w:t>
      </w:r>
      <w:r w:rsidR="002041B9">
        <w:t>C</w:t>
      </w:r>
      <w:r>
        <w:t xml:space="preserve">onvenio de </w:t>
      </w:r>
      <w:r w:rsidR="002041B9">
        <w:t>C</w:t>
      </w:r>
      <w:r>
        <w:t xml:space="preserve">oordinación suscrito entre el </w:t>
      </w:r>
      <w:r w:rsidR="00CD0940">
        <w:t>INE</w:t>
      </w:r>
      <w:r>
        <w:t xml:space="preserve"> y el IEEPCO para el proceso de Revocación de Mandato, así como en las disposiciones aplicables del Reglamento de Elecciones, mismas que deberán interpretarse y aplicarse conforme al contexto específico del proceso </w:t>
      </w:r>
      <w:r w:rsidRPr="00FE08C6">
        <w:t>de Revocación de Mandato en el estado de Oaxaca.</w:t>
      </w:r>
    </w:p>
    <w:p w14:paraId="6512BCFD" w14:textId="77777777" w:rsidR="007A0701" w:rsidRPr="007A0701" w:rsidRDefault="007A0701" w:rsidP="007A0701">
      <w:pPr>
        <w:pStyle w:val="Prrafodelista"/>
        <w:rPr>
          <w:rFonts w:eastAsia="Arial" w:cs="Arial"/>
          <w:color w:val="000000"/>
          <w:szCs w:val="24"/>
        </w:rPr>
      </w:pPr>
    </w:p>
    <w:p w14:paraId="51B50447" w14:textId="0405C98E" w:rsidR="004D7885" w:rsidRPr="00141790" w:rsidRDefault="007A0701" w:rsidP="00141790">
      <w:pPr>
        <w:pStyle w:val="Prrafodelista"/>
        <w:numPr>
          <w:ilvl w:val="0"/>
          <w:numId w:val="2"/>
        </w:numPr>
        <w:rPr>
          <w:rFonts w:eastAsia="Arial" w:cs="Arial"/>
          <w:color w:val="000000"/>
          <w:szCs w:val="24"/>
        </w:rPr>
      </w:pPr>
      <w:r>
        <w:t>En todos los casos, el proceso de acreditación deberá realizarse aplicando los principios de igualdad, inclusión,</w:t>
      </w:r>
      <w:r w:rsidR="008F5958">
        <w:t xml:space="preserve"> </w:t>
      </w:r>
      <w:r w:rsidR="0071243F">
        <w:t>y</w:t>
      </w:r>
      <w:r>
        <w:t xml:space="preserve"> no discriminación garantizando que ninguna persona sea cuestionada o limitada en razón de su identidad o expresión de género, lengua, edad, condición de discapacidad, origen étnico-racial o situación socioeconómica.</w:t>
      </w:r>
    </w:p>
    <w:p w14:paraId="682025E5" w14:textId="77777777" w:rsidR="00141790" w:rsidRPr="00141790" w:rsidRDefault="00141790" w:rsidP="00141790">
      <w:pPr>
        <w:pStyle w:val="Prrafodelista"/>
        <w:rPr>
          <w:rFonts w:eastAsia="Arial" w:cs="Arial"/>
          <w:color w:val="000000"/>
          <w:szCs w:val="24"/>
        </w:rPr>
      </w:pPr>
    </w:p>
    <w:p w14:paraId="6CE87E92" w14:textId="5FE05F9D" w:rsidR="00FD7E41" w:rsidRPr="00FD7E41" w:rsidRDefault="004D7885" w:rsidP="00B274A7">
      <w:pPr>
        <w:pStyle w:val="Prrafodelista"/>
        <w:numPr>
          <w:ilvl w:val="0"/>
          <w:numId w:val="2"/>
        </w:numPr>
        <w:rPr>
          <w:rFonts w:eastAsia="Arial" w:cs="Arial"/>
          <w:color w:val="000000"/>
          <w:szCs w:val="24"/>
        </w:rPr>
      </w:pPr>
      <w:r w:rsidRPr="006C197C">
        <w:rPr>
          <w:rFonts w:eastAsia="Arial" w:cs="Arial"/>
          <w:color w:val="000000"/>
          <w:szCs w:val="24"/>
        </w:rPr>
        <w:t xml:space="preserve">La DEECyPC, </w:t>
      </w:r>
      <w:r w:rsidR="00C80F75">
        <w:t xml:space="preserve">será el área responsable de integrar los expedientes de </w:t>
      </w:r>
      <w:r w:rsidR="00FD7E41">
        <w:t xml:space="preserve">las </w:t>
      </w:r>
      <w:r w:rsidR="00C80F75">
        <w:t>solicitudes de acreditación</w:t>
      </w:r>
      <w:r w:rsidR="00FD7E41">
        <w:t xml:space="preserve"> que reciba el Instituto en las modalidades habilitadas para tal fin</w:t>
      </w:r>
      <w:r w:rsidR="00C80F75">
        <w:t>, elaborar el dictamen técnico correspondiente, formar la lista de solicitudes procedentes que cumplen con los requisitos legales, formar la lista de solicitudes no procedentes debidamente fundadas y motivadas, y remitir ambas listas, junto con los expedientes respectivos, al Consejo General para su resolución.</w:t>
      </w:r>
      <w:r w:rsidR="00FD7E41">
        <w:t xml:space="preserve"> </w:t>
      </w:r>
      <w:r w:rsidR="00D742D9">
        <w:t xml:space="preserve">Los CD, deberán mantener una estrecha comunicación y colaboración con la DEECyPC en lo que hace a las </w:t>
      </w:r>
      <w:r w:rsidR="00D742D9">
        <w:lastRenderedPageBreak/>
        <w:t>solicitudes de acreditación que se presenten en sus sedes</w:t>
      </w:r>
      <w:r w:rsidR="00112CCE">
        <w:t xml:space="preserve"> o ámbito territorial cuando se traten de las recibidas en el Sistema de Registro. </w:t>
      </w:r>
    </w:p>
    <w:p w14:paraId="4C967468" w14:textId="77777777" w:rsidR="00FD7E41" w:rsidRDefault="00FD7E41" w:rsidP="00FD7E41">
      <w:pPr>
        <w:pStyle w:val="Prrafodelista"/>
      </w:pPr>
    </w:p>
    <w:p w14:paraId="5F3D5373" w14:textId="2E4C9FAD" w:rsidR="00EF52CA" w:rsidRPr="00D07330" w:rsidRDefault="0088550D" w:rsidP="00FD7E41">
      <w:pPr>
        <w:pStyle w:val="Prrafodelista"/>
        <w:rPr>
          <w:rFonts w:eastAsia="Arial" w:cs="Arial"/>
          <w:color w:val="000000"/>
          <w:szCs w:val="24"/>
        </w:rPr>
      </w:pPr>
      <w:r>
        <w:t xml:space="preserve">Asimismo, será responsable de las solicitudes de acreditación que se presenten en sus oficinas en lo que hace a la verificación documental inicial, la impartición del curso de capacitación, el requerimiento de subsanación dentro de los plazos establecidos, la validación o no validación de las solicitudes, la notificación a la ciudadanía del estatus de su trámite y, en su caso, de la entrega física de la constancia de acreditación, el gafete y la playera institucional de observación </w:t>
      </w:r>
      <w:r w:rsidR="002041B9">
        <w:t>en el proceso de Revocación de Mandato</w:t>
      </w:r>
      <w:r>
        <w:t>.</w:t>
      </w:r>
    </w:p>
    <w:p w14:paraId="7CE290A5" w14:textId="77777777" w:rsidR="00D07330" w:rsidRPr="00D07330" w:rsidRDefault="00D07330" w:rsidP="00D07330">
      <w:pPr>
        <w:pStyle w:val="Prrafodelista"/>
        <w:rPr>
          <w:rStyle w:val="nfasis"/>
          <w:rFonts w:eastAsia="Arial" w:cs="Arial"/>
          <w:i w:val="0"/>
          <w:iCs w:val="0"/>
          <w:color w:val="000000"/>
          <w:szCs w:val="24"/>
        </w:rPr>
      </w:pPr>
    </w:p>
    <w:p w14:paraId="17569F3B" w14:textId="01A54B5E" w:rsidR="001C5FC4" w:rsidRPr="00D07330" w:rsidRDefault="00B274A7" w:rsidP="004C4429">
      <w:pPr>
        <w:pStyle w:val="Prrafodelista"/>
        <w:numPr>
          <w:ilvl w:val="0"/>
          <w:numId w:val="2"/>
        </w:numPr>
        <w:rPr>
          <w:rFonts w:eastAsia="Arial" w:cs="Arial"/>
          <w:color w:val="000000"/>
          <w:szCs w:val="24"/>
        </w:rPr>
      </w:pPr>
      <w:r w:rsidRPr="00D07330">
        <w:rPr>
          <w:rFonts w:eastAsia="Arial" w:cs="Arial"/>
          <w:color w:val="000000"/>
          <w:szCs w:val="24"/>
        </w:rPr>
        <w:t>Por su parte, l</w:t>
      </w:r>
      <w:r w:rsidR="0080568E" w:rsidRPr="00D07330">
        <w:rPr>
          <w:rFonts w:eastAsia="Arial" w:cs="Arial"/>
          <w:color w:val="000000"/>
          <w:szCs w:val="24"/>
        </w:rPr>
        <w:t xml:space="preserve">os Consejos Distritales, </w:t>
      </w:r>
      <w:r w:rsidR="00D07330">
        <w:t xml:space="preserve">fungirán como sedes habilitadas para recibir solicitudes en modalidad presencial y, tanto en solicitudes presenciales como virtuales, serán responsables de la verificación documental inicial, </w:t>
      </w:r>
      <w:r w:rsidR="00540871">
        <w:t xml:space="preserve">la impartición del curso de capacitación, </w:t>
      </w:r>
      <w:r w:rsidR="00D07330">
        <w:t>el requerimiento de subsanación dentro de los plazos establecidos, la validación o no validación de las solicitudes</w:t>
      </w:r>
      <w:r w:rsidR="005C5AFA">
        <w:t xml:space="preserve"> </w:t>
      </w:r>
      <w:r w:rsidR="005C5AFA" w:rsidRPr="00650E2B">
        <w:t>de acreditación</w:t>
      </w:r>
      <w:r w:rsidR="00D07330" w:rsidRPr="00650E2B">
        <w:t>, la</w:t>
      </w:r>
      <w:r w:rsidR="00D07330">
        <w:t xml:space="preserve"> notificación a la ciudadanía del estatus de su trámite y, en su caso, de la entrega física de la constancia de acreditación, el gafete y la playera institucional de observación </w:t>
      </w:r>
      <w:r w:rsidR="00450101">
        <w:t>en el proceso de Revocación de Mandato</w:t>
      </w:r>
      <w:r w:rsidR="00DD4955">
        <w:t xml:space="preserve">. </w:t>
      </w:r>
      <w:r w:rsidR="00D07330">
        <w:t>La verificación y validación que realicen los Consejos Distritales integrará la base operativa para el dictamen elaborado por la DEECyPC.</w:t>
      </w:r>
    </w:p>
    <w:p w14:paraId="6B92D877" w14:textId="77777777" w:rsidR="00D07330" w:rsidRPr="00D07330" w:rsidRDefault="00D07330" w:rsidP="00D07330">
      <w:pPr>
        <w:pStyle w:val="Prrafodelista"/>
        <w:rPr>
          <w:rStyle w:val="nfasis"/>
          <w:rFonts w:eastAsia="Arial" w:cs="Arial"/>
          <w:i w:val="0"/>
          <w:iCs w:val="0"/>
          <w:color w:val="000000"/>
          <w:szCs w:val="24"/>
        </w:rPr>
      </w:pPr>
    </w:p>
    <w:p w14:paraId="67D899CD" w14:textId="47D2852B" w:rsidR="00DE67D1" w:rsidRPr="00A23119" w:rsidRDefault="00952DEB" w:rsidP="0021791F">
      <w:pPr>
        <w:pStyle w:val="Prrafodelista"/>
        <w:numPr>
          <w:ilvl w:val="0"/>
          <w:numId w:val="2"/>
        </w:numPr>
        <w:rPr>
          <w:rStyle w:val="nfasis"/>
          <w:rFonts w:eastAsia="Arial" w:cs="Arial"/>
          <w:i w:val="0"/>
          <w:iCs w:val="0"/>
          <w:color w:val="000000"/>
          <w:szCs w:val="24"/>
        </w:rPr>
      </w:pPr>
      <w:r>
        <w:t xml:space="preserve">La DEECyPC </w:t>
      </w:r>
      <w:r w:rsidR="00A9123A">
        <w:t xml:space="preserve">deberá brindar asistencia técnica y operativa a los Consejos Distritales en todas las etapas del procedimiento, </w:t>
      </w:r>
      <w:r w:rsidR="0069281E" w:rsidRPr="0069281E">
        <w:t>a fin de asegurar uniformidad en los criterios de revisión, correcta integración documental, verificación de requisitos de los expedientes y operación adecuada del</w:t>
      </w:r>
      <w:r w:rsidR="0069281E">
        <w:t xml:space="preserve"> </w:t>
      </w:r>
      <w:r w:rsidR="001C5FC4">
        <w:rPr>
          <w:rStyle w:val="nfasis"/>
        </w:rPr>
        <w:t xml:space="preserve">Sistema de Registro de Personas Observadoras del proceso de Revocación de Mandato de la </w:t>
      </w:r>
      <w:r w:rsidR="007D2B65">
        <w:rPr>
          <w:rStyle w:val="nfasis"/>
        </w:rPr>
        <w:t>p</w:t>
      </w:r>
      <w:r w:rsidR="001C5FC4">
        <w:rPr>
          <w:rStyle w:val="nfasis"/>
        </w:rPr>
        <w:t xml:space="preserve">ersona </w:t>
      </w:r>
      <w:r w:rsidR="007D2B65">
        <w:rPr>
          <w:rStyle w:val="nfasis"/>
        </w:rPr>
        <w:t>t</w:t>
      </w:r>
      <w:r w:rsidR="001C5FC4">
        <w:rPr>
          <w:rStyle w:val="nfasis"/>
        </w:rPr>
        <w:t>itular de la Gubernatura del Estado de Oaxaca para el periodo constitucional de 2022–2028.</w:t>
      </w:r>
    </w:p>
    <w:p w14:paraId="100A474E" w14:textId="77777777" w:rsidR="00A23119" w:rsidRPr="00E818D1" w:rsidRDefault="00A23119" w:rsidP="00A23119">
      <w:pPr>
        <w:pStyle w:val="Prrafodelista"/>
        <w:rPr>
          <w:rStyle w:val="nfasis"/>
          <w:rFonts w:eastAsia="Arial" w:cs="Arial"/>
          <w:i w:val="0"/>
          <w:iCs w:val="0"/>
          <w:color w:val="000000"/>
          <w:szCs w:val="24"/>
        </w:rPr>
      </w:pPr>
    </w:p>
    <w:p w14:paraId="5DACBBDB" w14:textId="01539FBD" w:rsidR="00885949" w:rsidRPr="00885949" w:rsidRDefault="00B16406" w:rsidP="00885949">
      <w:pPr>
        <w:pStyle w:val="Prrafodelista"/>
        <w:numPr>
          <w:ilvl w:val="0"/>
          <w:numId w:val="2"/>
        </w:numPr>
        <w:rPr>
          <w:rFonts w:eastAsia="Arial" w:cs="Arial"/>
        </w:rPr>
      </w:pPr>
      <w:r w:rsidRPr="00885949">
        <w:rPr>
          <w:rFonts w:eastAsia="Arial" w:cs="Arial"/>
          <w:color w:val="000000"/>
          <w:szCs w:val="24"/>
        </w:rPr>
        <w:t>Una vez acreditados los requisitos establecidos en la LGIPE</w:t>
      </w:r>
      <w:r w:rsidRPr="00650E2B">
        <w:rPr>
          <w:rFonts w:eastAsia="Arial" w:cs="Arial"/>
          <w:color w:val="000000"/>
          <w:szCs w:val="24"/>
        </w:rPr>
        <w:t xml:space="preserve">, </w:t>
      </w:r>
      <w:r w:rsidR="00311986" w:rsidRPr="00650E2B">
        <w:rPr>
          <w:rFonts w:eastAsia="Arial" w:cs="Arial"/>
          <w:color w:val="000000"/>
          <w:szCs w:val="24"/>
        </w:rPr>
        <w:t xml:space="preserve">la DEECyPC </w:t>
      </w:r>
      <w:r w:rsidR="00885949" w:rsidRPr="00650E2B">
        <w:rPr>
          <w:rFonts w:eastAsia="Arial" w:cs="Arial"/>
        </w:rPr>
        <w:t>a través de la Secretaría Ejecutiva del Instituto, deberá</w:t>
      </w:r>
      <w:r w:rsidR="00885949" w:rsidRPr="00885949">
        <w:rPr>
          <w:rFonts w:eastAsia="Arial" w:cs="Arial"/>
        </w:rPr>
        <w:t xml:space="preserve"> presentar al Consejo General un Dictamen Técnico con las solicitudes de acreditación para su resolución a más tardar en la siguiente sesión que programen para este fin o, en la sesión en la cual se incluya el asunto en los puntos del orden del día.</w:t>
      </w:r>
    </w:p>
    <w:p w14:paraId="57371FEE" w14:textId="77777777" w:rsidR="00885949" w:rsidRPr="00650E2B" w:rsidRDefault="00885949" w:rsidP="00885949">
      <w:pPr>
        <w:pStyle w:val="Prrafodelista"/>
        <w:rPr>
          <w:rFonts w:eastAsia="Arial" w:cs="Arial"/>
          <w:color w:val="000000"/>
          <w:szCs w:val="24"/>
        </w:rPr>
      </w:pPr>
    </w:p>
    <w:p w14:paraId="28FE157B" w14:textId="1AE66DB1" w:rsidR="00BA58AA" w:rsidRPr="00AD489B" w:rsidRDefault="00D01361" w:rsidP="00694DA1">
      <w:pPr>
        <w:pStyle w:val="Prrafodelista"/>
        <w:numPr>
          <w:ilvl w:val="0"/>
          <w:numId w:val="2"/>
        </w:numPr>
      </w:pPr>
      <w:r w:rsidRPr="00650E2B">
        <w:rPr>
          <w:rFonts w:eastAsia="Arial" w:cs="Arial"/>
          <w:color w:val="000000"/>
          <w:szCs w:val="24"/>
        </w:rPr>
        <w:t xml:space="preserve">Las acreditaciones que hayan sido aprobadas por el Consejo General, serán </w:t>
      </w:r>
      <w:r w:rsidR="00FB43EF" w:rsidRPr="00650E2B">
        <w:rPr>
          <w:rFonts w:eastAsia="Arial" w:cs="Arial"/>
          <w:color w:val="000000"/>
          <w:szCs w:val="24"/>
        </w:rPr>
        <w:t>notificadas</w:t>
      </w:r>
      <w:r w:rsidRPr="00650E2B">
        <w:rPr>
          <w:rFonts w:eastAsia="Arial" w:cs="Arial"/>
          <w:color w:val="000000"/>
          <w:szCs w:val="24"/>
        </w:rPr>
        <w:t xml:space="preserve"> a las personas,</w:t>
      </w:r>
      <w:r w:rsidR="00C273AD" w:rsidRPr="00650E2B">
        <w:rPr>
          <w:rFonts w:eastAsia="Arial" w:cs="Arial"/>
          <w:color w:val="000000"/>
          <w:szCs w:val="24"/>
        </w:rPr>
        <w:t xml:space="preserve"> dentro de los tres días siguientes a la sesión en que hayan sido aprobadas</w:t>
      </w:r>
      <w:r w:rsidR="007F0FBB" w:rsidRPr="00650E2B">
        <w:rPr>
          <w:rStyle w:val="Refdenotaalpie"/>
          <w:rFonts w:eastAsia="Arial" w:cs="Arial"/>
          <w:color w:val="000000"/>
          <w:szCs w:val="24"/>
        </w:rPr>
        <w:footnoteReference w:id="23"/>
      </w:r>
      <w:r w:rsidR="00AF02AF">
        <w:rPr>
          <w:rFonts w:eastAsia="Arial" w:cs="Arial"/>
          <w:color w:val="000000"/>
          <w:szCs w:val="24"/>
        </w:rPr>
        <w:t>.</w:t>
      </w:r>
      <w:r w:rsidRPr="00650E2B">
        <w:rPr>
          <w:rFonts w:eastAsia="Arial" w:cs="Arial"/>
          <w:color w:val="000000"/>
          <w:szCs w:val="24"/>
        </w:rPr>
        <w:t xml:space="preserve"> </w:t>
      </w:r>
      <w:r w:rsidR="00900F9A" w:rsidRPr="00650E2B">
        <w:rPr>
          <w:rFonts w:eastAsia="Arial" w:cs="Arial"/>
          <w:color w:val="000000"/>
          <w:szCs w:val="24"/>
        </w:rPr>
        <w:t>La DEECyPC y los CD, coadyuvarán a este fin</w:t>
      </w:r>
      <w:r w:rsidR="00AE06E2" w:rsidRPr="00650E2B">
        <w:rPr>
          <w:rFonts w:eastAsia="Arial" w:cs="Arial"/>
          <w:color w:val="000000"/>
          <w:szCs w:val="24"/>
        </w:rPr>
        <w:t xml:space="preserve">, y </w:t>
      </w:r>
      <w:r w:rsidR="001C5EB8">
        <w:rPr>
          <w:rFonts w:eastAsia="Arial" w:cs="Arial"/>
          <w:color w:val="000000"/>
          <w:szCs w:val="24"/>
        </w:rPr>
        <w:t>e</w:t>
      </w:r>
      <w:r w:rsidR="001C5EB8" w:rsidRPr="001C5EB8">
        <w:rPr>
          <w:rFonts w:eastAsia="Arial" w:cs="Arial"/>
          <w:color w:val="000000"/>
          <w:szCs w:val="24"/>
        </w:rPr>
        <w:t>n los casos de entrega</w:t>
      </w:r>
      <w:r w:rsidR="001C5EB8">
        <w:rPr>
          <w:rFonts w:eastAsia="Arial" w:cs="Arial"/>
          <w:color w:val="000000"/>
          <w:szCs w:val="24"/>
        </w:rPr>
        <w:t>s</w:t>
      </w:r>
      <w:r w:rsidR="001C5EB8" w:rsidRPr="001C5EB8">
        <w:rPr>
          <w:rFonts w:eastAsia="Arial" w:cs="Arial"/>
          <w:color w:val="000000"/>
          <w:szCs w:val="24"/>
        </w:rPr>
        <w:t xml:space="preserve"> presencial</w:t>
      </w:r>
      <w:r w:rsidR="001C5EB8">
        <w:rPr>
          <w:rFonts w:eastAsia="Arial" w:cs="Arial"/>
          <w:color w:val="000000"/>
          <w:szCs w:val="24"/>
        </w:rPr>
        <w:t>es</w:t>
      </w:r>
      <w:r w:rsidR="001C5EB8" w:rsidRPr="001C5EB8">
        <w:rPr>
          <w:rFonts w:eastAsia="Arial" w:cs="Arial"/>
          <w:color w:val="000000"/>
          <w:szCs w:val="24"/>
        </w:rPr>
        <w:t xml:space="preserve">, </w:t>
      </w:r>
      <w:r w:rsidR="001C5EB8">
        <w:rPr>
          <w:rFonts w:eastAsia="Arial" w:cs="Arial"/>
          <w:color w:val="000000"/>
          <w:szCs w:val="24"/>
        </w:rPr>
        <w:t xml:space="preserve">podrán </w:t>
      </w:r>
      <w:r w:rsidR="001C5EB8" w:rsidRPr="001C5EB8">
        <w:rPr>
          <w:rFonts w:eastAsia="Arial" w:cs="Arial"/>
          <w:color w:val="000000"/>
          <w:szCs w:val="24"/>
        </w:rPr>
        <w:t xml:space="preserve">proporcionar, conjuntamente con la constancia y el gafete, la playera institucional de </w:t>
      </w:r>
      <w:r w:rsidR="001C5EB8" w:rsidRPr="001C5EB8">
        <w:rPr>
          <w:rFonts w:eastAsia="Arial" w:cs="Arial"/>
          <w:color w:val="000000"/>
          <w:szCs w:val="24"/>
        </w:rPr>
        <w:lastRenderedPageBreak/>
        <w:t xml:space="preserve">observación </w:t>
      </w:r>
      <w:r w:rsidR="00450101">
        <w:rPr>
          <w:rFonts w:eastAsia="Arial" w:cs="Arial"/>
          <w:color w:val="000000"/>
          <w:szCs w:val="24"/>
        </w:rPr>
        <w:t>en el proceso de Revocación de Mandato</w:t>
      </w:r>
      <w:r w:rsidR="001C5EB8" w:rsidRPr="001C5EB8">
        <w:rPr>
          <w:rFonts w:eastAsia="Arial" w:cs="Arial"/>
          <w:color w:val="000000"/>
          <w:szCs w:val="24"/>
        </w:rPr>
        <w:t>, como parte del equipamiento oficial autorizado para el desarrollo de las actividades de observación.</w:t>
      </w:r>
    </w:p>
    <w:p w14:paraId="45E8D0F0" w14:textId="76CE620F" w:rsidR="00603294" w:rsidRDefault="009045F0" w:rsidP="00E50841">
      <w:pPr>
        <w:spacing w:after="0" w:line="276" w:lineRule="auto"/>
        <w:rPr>
          <w:rFonts w:eastAsia="Arial" w:cs="Arial"/>
          <w:b/>
          <w:bCs/>
          <w:color w:val="000000"/>
          <w:szCs w:val="24"/>
        </w:rPr>
      </w:pPr>
      <w:r w:rsidRPr="00AD489B">
        <w:rPr>
          <w:rFonts w:eastAsia="Arial" w:cs="Arial"/>
          <w:b/>
          <w:bCs/>
          <w:szCs w:val="24"/>
        </w:rPr>
        <w:t>Noveno</w:t>
      </w:r>
      <w:r w:rsidR="00E50841" w:rsidRPr="00AD489B">
        <w:rPr>
          <w:rFonts w:eastAsia="Arial" w:cs="Arial"/>
          <w:b/>
          <w:bCs/>
          <w:szCs w:val="24"/>
        </w:rPr>
        <w:t xml:space="preserve">. De </w:t>
      </w:r>
      <w:r w:rsidR="00E50841" w:rsidRPr="00C64753">
        <w:rPr>
          <w:rFonts w:eastAsia="Arial" w:cs="Arial"/>
          <w:b/>
          <w:bCs/>
          <w:color w:val="000000"/>
          <w:szCs w:val="24"/>
        </w:rPr>
        <w:t xml:space="preserve">los informes </w:t>
      </w:r>
      <w:r w:rsidR="00603294">
        <w:rPr>
          <w:rFonts w:eastAsia="Arial" w:cs="Arial"/>
          <w:b/>
          <w:bCs/>
          <w:color w:val="000000"/>
          <w:szCs w:val="24"/>
        </w:rPr>
        <w:t xml:space="preserve">que puede presentar </w:t>
      </w:r>
      <w:r w:rsidR="00603294" w:rsidRPr="00650E2B">
        <w:rPr>
          <w:rFonts w:eastAsia="Arial" w:cs="Arial"/>
          <w:b/>
          <w:bCs/>
          <w:color w:val="000000"/>
          <w:szCs w:val="24"/>
        </w:rPr>
        <w:t xml:space="preserve">la ciudadanía </w:t>
      </w:r>
      <w:r w:rsidR="00AD489B" w:rsidRPr="00650E2B">
        <w:rPr>
          <w:rFonts w:eastAsia="Arial" w:cs="Arial"/>
          <w:b/>
          <w:bCs/>
          <w:color w:val="000000"/>
          <w:szCs w:val="24"/>
        </w:rPr>
        <w:t>participante en</w:t>
      </w:r>
      <w:r w:rsidR="003A4051" w:rsidRPr="00650E2B">
        <w:rPr>
          <w:rFonts w:eastAsia="Arial" w:cs="Arial"/>
          <w:b/>
          <w:bCs/>
          <w:color w:val="000000"/>
          <w:szCs w:val="24"/>
        </w:rPr>
        <w:t xml:space="preserve"> la</w:t>
      </w:r>
      <w:r w:rsidR="003A4051">
        <w:rPr>
          <w:rFonts w:eastAsia="Arial" w:cs="Arial"/>
          <w:b/>
          <w:bCs/>
          <w:color w:val="000000"/>
          <w:szCs w:val="24"/>
        </w:rPr>
        <w:t xml:space="preserve"> observación </w:t>
      </w:r>
      <w:r w:rsidR="00450101">
        <w:rPr>
          <w:rFonts w:eastAsia="Arial" w:cs="Arial"/>
          <w:b/>
          <w:bCs/>
          <w:color w:val="000000"/>
          <w:szCs w:val="24"/>
        </w:rPr>
        <w:t>del proceso de Revocación de Mandato</w:t>
      </w:r>
      <w:r w:rsidR="003A4051">
        <w:rPr>
          <w:rFonts w:eastAsia="Arial" w:cs="Arial"/>
          <w:b/>
          <w:bCs/>
          <w:color w:val="000000"/>
          <w:szCs w:val="24"/>
        </w:rPr>
        <w:t xml:space="preserve">. </w:t>
      </w:r>
    </w:p>
    <w:p w14:paraId="3B7A0013" w14:textId="77777777" w:rsidR="003A4051" w:rsidRDefault="003A4051" w:rsidP="00E50841">
      <w:pPr>
        <w:spacing w:after="0" w:line="276" w:lineRule="auto"/>
        <w:rPr>
          <w:rFonts w:eastAsia="Arial" w:cs="Arial"/>
          <w:b/>
          <w:bCs/>
          <w:color w:val="000000"/>
          <w:szCs w:val="24"/>
        </w:rPr>
      </w:pPr>
    </w:p>
    <w:p w14:paraId="2D7BEA3D" w14:textId="53542721" w:rsidR="003A4051" w:rsidRDefault="003A4051" w:rsidP="003A4051">
      <w:pPr>
        <w:numPr>
          <w:ilvl w:val="0"/>
          <w:numId w:val="2"/>
        </w:numPr>
        <w:spacing w:after="0" w:line="276" w:lineRule="auto"/>
        <w:rPr>
          <w:rFonts w:eastAsia="Arial" w:cs="Arial"/>
          <w:color w:val="000000"/>
          <w:szCs w:val="24"/>
        </w:rPr>
      </w:pPr>
      <w:r>
        <w:rPr>
          <w:rFonts w:eastAsia="Arial" w:cs="Arial"/>
          <w:color w:val="000000"/>
          <w:szCs w:val="24"/>
        </w:rPr>
        <w:t>Ahora bien, respecto a los informes de actividades, d</w:t>
      </w:r>
      <w:r w:rsidRPr="007C1099">
        <w:rPr>
          <w:rFonts w:eastAsia="Arial" w:cs="Arial"/>
          <w:color w:val="000000"/>
          <w:szCs w:val="24"/>
        </w:rPr>
        <w:t xml:space="preserve">e conformidad con el artículo 217, numeral 1, inciso j) de la LGIPE, las personas observadoras podrán presentar, </w:t>
      </w:r>
      <w:r w:rsidRPr="00FA0BDA">
        <w:rPr>
          <w:rFonts w:eastAsia="Arial" w:cs="Arial"/>
          <w:color w:val="000000"/>
          <w:szCs w:val="24"/>
        </w:rPr>
        <w:t>ante la autoridad electoral, informe de sus actividades en los</w:t>
      </w:r>
      <w:r>
        <w:rPr>
          <w:rFonts w:eastAsia="Arial" w:cs="Arial"/>
          <w:color w:val="000000"/>
          <w:szCs w:val="24"/>
        </w:rPr>
        <w:t xml:space="preserve"> </w:t>
      </w:r>
      <w:r w:rsidRPr="00FA0BDA">
        <w:rPr>
          <w:rFonts w:eastAsia="Arial" w:cs="Arial"/>
          <w:color w:val="000000"/>
          <w:szCs w:val="24"/>
        </w:rPr>
        <w:t>términos y tiempos que para tal efecto determine el Consejo General. En ningún caso, los</w:t>
      </w:r>
      <w:r>
        <w:rPr>
          <w:rFonts w:eastAsia="Arial" w:cs="Arial"/>
          <w:color w:val="000000"/>
          <w:szCs w:val="24"/>
        </w:rPr>
        <w:t xml:space="preserve"> </w:t>
      </w:r>
      <w:r w:rsidRPr="00FA0BDA">
        <w:rPr>
          <w:rFonts w:eastAsia="Arial" w:cs="Arial"/>
          <w:color w:val="000000"/>
          <w:szCs w:val="24"/>
        </w:rPr>
        <w:t>informes, juicios, opiniones o conclusiones de los observadores tendrán efectos jurídicos sobre el</w:t>
      </w:r>
      <w:r>
        <w:rPr>
          <w:rFonts w:eastAsia="Arial" w:cs="Arial"/>
          <w:color w:val="000000"/>
          <w:szCs w:val="24"/>
        </w:rPr>
        <w:t xml:space="preserve"> </w:t>
      </w:r>
      <w:r w:rsidRPr="00FA0BDA">
        <w:rPr>
          <w:rFonts w:eastAsia="Arial" w:cs="Arial"/>
          <w:color w:val="000000"/>
          <w:szCs w:val="24"/>
        </w:rPr>
        <w:t>proceso electoral y sus resultados</w:t>
      </w:r>
      <w:r w:rsidR="00450101">
        <w:rPr>
          <w:rFonts w:eastAsia="Arial" w:cs="Arial"/>
          <w:color w:val="000000"/>
          <w:szCs w:val="24"/>
        </w:rPr>
        <w:t xml:space="preserve"> que, en este caso, se referirá a</w:t>
      </w:r>
      <w:r w:rsidR="00450101">
        <w:rPr>
          <w:rFonts w:cs="Arial"/>
          <w:color w:val="000000" w:themeColor="text1"/>
        </w:rPr>
        <w:t>l proceso de Revocación de Mandato</w:t>
      </w:r>
      <w:r w:rsidR="003B3AD0">
        <w:rPr>
          <w:rFonts w:cs="Arial"/>
          <w:color w:val="000000" w:themeColor="text1"/>
        </w:rPr>
        <w:t>.</w:t>
      </w:r>
    </w:p>
    <w:p w14:paraId="14EA77EF" w14:textId="77777777" w:rsidR="00844CB5" w:rsidRDefault="00844CB5" w:rsidP="00844CB5">
      <w:pPr>
        <w:spacing w:after="0" w:line="276" w:lineRule="auto"/>
        <w:ind w:left="720"/>
        <w:rPr>
          <w:rFonts w:eastAsia="Arial" w:cs="Arial"/>
          <w:color w:val="000000"/>
          <w:szCs w:val="24"/>
        </w:rPr>
      </w:pPr>
    </w:p>
    <w:p w14:paraId="070E3FD7" w14:textId="6E247162" w:rsidR="006C25ED" w:rsidRDefault="00844CB5" w:rsidP="00BD141C">
      <w:pPr>
        <w:numPr>
          <w:ilvl w:val="0"/>
          <w:numId w:val="2"/>
        </w:numPr>
        <w:spacing w:after="0" w:line="276" w:lineRule="auto"/>
        <w:rPr>
          <w:rFonts w:eastAsia="Arial" w:cs="Arial"/>
          <w:color w:val="000000"/>
          <w:szCs w:val="24"/>
        </w:rPr>
      </w:pPr>
      <w:r>
        <w:rPr>
          <w:rFonts w:eastAsia="Arial" w:cs="Arial"/>
          <w:color w:val="000000"/>
          <w:szCs w:val="24"/>
        </w:rPr>
        <w:t xml:space="preserve">En ese sentido, el artículo 211 del Reglamento de Elecciones del INE, establece </w:t>
      </w:r>
      <w:r w:rsidR="00CB2B68">
        <w:rPr>
          <w:rFonts w:eastAsia="Arial" w:cs="Arial"/>
          <w:color w:val="000000"/>
          <w:szCs w:val="24"/>
        </w:rPr>
        <w:t xml:space="preserve">que este informe deberá ser presentado dentro de los treinta días siguientes a aquél en que se celebre la </w:t>
      </w:r>
      <w:r w:rsidR="00CB2B68" w:rsidRPr="00650E2B">
        <w:rPr>
          <w:rFonts w:eastAsia="Arial" w:cs="Arial"/>
          <w:color w:val="000000"/>
          <w:szCs w:val="24"/>
        </w:rPr>
        <w:t>Jornad</w:t>
      </w:r>
      <w:r w:rsidR="00AD489B" w:rsidRPr="00650E2B">
        <w:rPr>
          <w:rFonts w:eastAsia="Arial" w:cs="Arial"/>
          <w:color w:val="000000"/>
          <w:szCs w:val="24"/>
        </w:rPr>
        <w:t>a</w:t>
      </w:r>
      <w:r w:rsidR="00AD489B">
        <w:rPr>
          <w:rFonts w:eastAsia="Arial" w:cs="Arial"/>
          <w:color w:val="000000"/>
          <w:szCs w:val="24"/>
        </w:rPr>
        <w:t xml:space="preserve"> </w:t>
      </w:r>
      <w:r w:rsidR="00CB2B68">
        <w:rPr>
          <w:rFonts w:eastAsia="Arial" w:cs="Arial"/>
          <w:color w:val="000000"/>
          <w:szCs w:val="24"/>
        </w:rPr>
        <w:t>correspondiente,</w:t>
      </w:r>
      <w:r w:rsidR="004B2305">
        <w:rPr>
          <w:rFonts w:eastAsia="Arial" w:cs="Arial"/>
          <w:color w:val="000000"/>
          <w:szCs w:val="24"/>
        </w:rPr>
        <w:t xml:space="preserve"> en un formato digital editable</w:t>
      </w:r>
      <w:r w:rsidR="005E0E3F">
        <w:rPr>
          <w:rFonts w:eastAsia="Arial" w:cs="Arial"/>
          <w:color w:val="000000"/>
          <w:szCs w:val="24"/>
        </w:rPr>
        <w:t xml:space="preserve">. </w:t>
      </w:r>
    </w:p>
    <w:p w14:paraId="4CBB0F31" w14:textId="77777777" w:rsidR="00BD141C" w:rsidRPr="006C25ED" w:rsidRDefault="00BD141C" w:rsidP="00BD141C">
      <w:pPr>
        <w:spacing w:after="0" w:line="276" w:lineRule="auto"/>
        <w:ind w:left="720"/>
        <w:rPr>
          <w:rFonts w:eastAsia="Arial" w:cs="Arial"/>
          <w:color w:val="000000"/>
          <w:szCs w:val="24"/>
        </w:rPr>
      </w:pPr>
    </w:p>
    <w:p w14:paraId="707C1017" w14:textId="730641A6" w:rsidR="005A1EFB" w:rsidRPr="00D208F7" w:rsidRDefault="002557E9" w:rsidP="005A1EFB">
      <w:pPr>
        <w:numPr>
          <w:ilvl w:val="0"/>
          <w:numId w:val="2"/>
        </w:numPr>
        <w:spacing w:after="0" w:line="276" w:lineRule="auto"/>
        <w:rPr>
          <w:rStyle w:val="nfasis"/>
          <w:rFonts w:eastAsia="Arial" w:cs="Arial"/>
          <w:i w:val="0"/>
          <w:iCs w:val="0"/>
        </w:rPr>
      </w:pPr>
      <w:r w:rsidRPr="005A1EFB">
        <w:rPr>
          <w:rFonts w:eastAsia="Arial" w:cs="Arial"/>
          <w:color w:val="000000"/>
          <w:szCs w:val="24"/>
        </w:rPr>
        <w:t>En cumplimiento a lo anterior, l</w:t>
      </w:r>
      <w:r w:rsidR="006D5785" w:rsidRPr="005A1EFB">
        <w:rPr>
          <w:rFonts w:eastAsia="Arial" w:cs="Arial"/>
          <w:color w:val="000000"/>
          <w:szCs w:val="24"/>
        </w:rPr>
        <w:t>os informes</w:t>
      </w:r>
      <w:r w:rsidRPr="005A1EFB">
        <w:rPr>
          <w:rFonts w:eastAsia="Arial" w:cs="Arial"/>
          <w:color w:val="000000"/>
          <w:szCs w:val="24"/>
        </w:rPr>
        <w:t xml:space="preserve"> de la ciudadanía que </w:t>
      </w:r>
      <w:r w:rsidR="00B65942">
        <w:rPr>
          <w:rFonts w:eastAsia="Arial" w:cs="Arial"/>
          <w:color w:val="000000"/>
          <w:szCs w:val="24"/>
        </w:rPr>
        <w:t xml:space="preserve">realice </w:t>
      </w:r>
      <w:r w:rsidRPr="005A1EFB">
        <w:rPr>
          <w:rFonts w:eastAsia="Arial" w:cs="Arial"/>
          <w:color w:val="000000"/>
          <w:szCs w:val="24"/>
        </w:rPr>
        <w:t>observación en el presente proceso de Revocación de Mandato</w:t>
      </w:r>
      <w:r w:rsidR="006D5785" w:rsidRPr="005A1EFB">
        <w:rPr>
          <w:rFonts w:eastAsia="Arial" w:cs="Arial"/>
          <w:color w:val="000000"/>
          <w:szCs w:val="24"/>
        </w:rPr>
        <w:t xml:space="preserve">, </w:t>
      </w:r>
      <w:r w:rsidRPr="005A1EFB">
        <w:rPr>
          <w:rFonts w:eastAsia="Arial" w:cs="Arial"/>
          <w:color w:val="000000"/>
          <w:szCs w:val="24"/>
        </w:rPr>
        <w:t>podrán</w:t>
      </w:r>
      <w:r w:rsidR="006D5785" w:rsidRPr="005A1EFB">
        <w:rPr>
          <w:rFonts w:eastAsia="Arial" w:cs="Arial"/>
          <w:color w:val="000000"/>
          <w:szCs w:val="24"/>
        </w:rPr>
        <w:t xml:space="preserve"> </w:t>
      </w:r>
      <w:r w:rsidR="006D5785" w:rsidRPr="00650E2B">
        <w:rPr>
          <w:rFonts w:eastAsia="Arial" w:cs="Arial"/>
          <w:color w:val="000000"/>
          <w:szCs w:val="24"/>
        </w:rPr>
        <w:t>presenta</w:t>
      </w:r>
      <w:r w:rsidRPr="00650E2B">
        <w:rPr>
          <w:rFonts w:eastAsia="Arial" w:cs="Arial"/>
          <w:color w:val="000000"/>
          <w:szCs w:val="24"/>
        </w:rPr>
        <w:t>r</w:t>
      </w:r>
      <w:r w:rsidR="00640B55" w:rsidRPr="00650E2B">
        <w:rPr>
          <w:rFonts w:eastAsia="Arial" w:cs="Arial"/>
          <w:color w:val="000000"/>
          <w:szCs w:val="24"/>
        </w:rPr>
        <w:t>se</w:t>
      </w:r>
      <w:r w:rsidR="006D5785" w:rsidRPr="005A1EFB">
        <w:rPr>
          <w:rFonts w:eastAsia="Arial" w:cs="Arial"/>
          <w:color w:val="000000"/>
          <w:szCs w:val="24"/>
        </w:rPr>
        <w:t xml:space="preserve"> a través del </w:t>
      </w:r>
      <w:r w:rsidR="006D5785">
        <w:rPr>
          <w:rStyle w:val="nfasis"/>
        </w:rPr>
        <w:t xml:space="preserve">Sistema de Registro de Personas Observadoras del proceso de Revocación de Mandato de la </w:t>
      </w:r>
      <w:r w:rsidR="002E0273">
        <w:rPr>
          <w:rStyle w:val="nfasis"/>
        </w:rPr>
        <w:t>p</w:t>
      </w:r>
      <w:r w:rsidR="006D5785">
        <w:rPr>
          <w:rStyle w:val="nfasis"/>
        </w:rPr>
        <w:t xml:space="preserve">ersona </w:t>
      </w:r>
      <w:r w:rsidR="002E0273">
        <w:rPr>
          <w:rStyle w:val="nfasis"/>
        </w:rPr>
        <w:t>t</w:t>
      </w:r>
      <w:r w:rsidR="006D5785">
        <w:rPr>
          <w:rStyle w:val="nfasis"/>
        </w:rPr>
        <w:t xml:space="preserve">itular de la Gubernatura del Estado de Oaxaca para el periodo </w:t>
      </w:r>
      <w:r w:rsidR="006D5785" w:rsidRPr="0075237C">
        <w:rPr>
          <w:rStyle w:val="nfasis"/>
        </w:rPr>
        <w:t>constitucional de 2022–2028</w:t>
      </w:r>
      <w:r w:rsidR="00842B57" w:rsidRPr="0075237C">
        <w:rPr>
          <w:rStyle w:val="nfasis"/>
        </w:rPr>
        <w:t xml:space="preserve">, </w:t>
      </w:r>
      <w:r w:rsidR="00842B57" w:rsidRPr="005A1EFB">
        <w:rPr>
          <w:rStyle w:val="nfasis"/>
          <w:i w:val="0"/>
          <w:iCs w:val="0"/>
        </w:rPr>
        <w:t>el correo electrónico designado para este fin o</w:t>
      </w:r>
      <w:r w:rsidR="00561E94">
        <w:rPr>
          <w:rStyle w:val="nfasis"/>
          <w:i w:val="0"/>
          <w:iCs w:val="0"/>
        </w:rPr>
        <w:t xml:space="preserve"> en</w:t>
      </w:r>
      <w:r w:rsidR="00842B57" w:rsidRPr="005A1EFB">
        <w:rPr>
          <w:rStyle w:val="nfasis"/>
          <w:i w:val="0"/>
          <w:iCs w:val="0"/>
        </w:rPr>
        <w:t xml:space="preserve"> las oficinas que ocupa la DEECyPC</w:t>
      </w:r>
      <w:r w:rsidR="005A1EFB">
        <w:rPr>
          <w:rStyle w:val="nfasis"/>
          <w:i w:val="0"/>
          <w:iCs w:val="0"/>
        </w:rPr>
        <w:t xml:space="preserve">. </w:t>
      </w:r>
      <w:r w:rsidR="005A1EFB" w:rsidRPr="7A35F80D">
        <w:rPr>
          <w:rStyle w:val="nfasis"/>
          <w:i w:val="0"/>
          <w:iCs w:val="0"/>
        </w:rPr>
        <w:t xml:space="preserve">El </w:t>
      </w:r>
      <w:r w:rsidR="00561E94">
        <w:rPr>
          <w:rStyle w:val="nfasis"/>
          <w:i w:val="0"/>
          <w:iCs w:val="0"/>
        </w:rPr>
        <w:t xml:space="preserve">informe </w:t>
      </w:r>
      <w:r w:rsidR="005A1EFB" w:rsidRPr="7A35F80D">
        <w:rPr>
          <w:rStyle w:val="nfasis"/>
          <w:i w:val="0"/>
          <w:iCs w:val="0"/>
        </w:rPr>
        <w:t>deberá contener al menos lo siguiente:</w:t>
      </w:r>
    </w:p>
    <w:p w14:paraId="3DCA10EB" w14:textId="6282251C" w:rsidR="006373FB" w:rsidRPr="005A1EFB" w:rsidRDefault="006373FB" w:rsidP="00D4144D">
      <w:pPr>
        <w:numPr>
          <w:ilvl w:val="0"/>
          <w:numId w:val="38"/>
        </w:numPr>
        <w:spacing w:after="0" w:line="276" w:lineRule="auto"/>
        <w:rPr>
          <w:rFonts w:eastAsia="Arial" w:cs="Arial"/>
          <w:color w:val="000000"/>
          <w:szCs w:val="24"/>
        </w:rPr>
      </w:pPr>
      <w:r w:rsidRPr="005A1EFB">
        <w:rPr>
          <w:rFonts w:eastAsia="Arial" w:cs="Arial"/>
          <w:color w:val="000000"/>
          <w:szCs w:val="24"/>
        </w:rPr>
        <w:t xml:space="preserve">Nombre de la persona ciudadana; </w:t>
      </w:r>
    </w:p>
    <w:p w14:paraId="0BF7DD8B" w14:textId="77777777" w:rsidR="006373FB" w:rsidRPr="0075237C" w:rsidRDefault="006373FB" w:rsidP="00D065D8">
      <w:pPr>
        <w:pStyle w:val="Prrafodelista"/>
        <w:numPr>
          <w:ilvl w:val="0"/>
          <w:numId w:val="38"/>
        </w:numPr>
        <w:spacing w:after="0" w:line="276" w:lineRule="auto"/>
        <w:rPr>
          <w:rFonts w:eastAsia="Arial" w:cs="Arial"/>
          <w:color w:val="000000"/>
          <w:szCs w:val="24"/>
        </w:rPr>
      </w:pPr>
      <w:r w:rsidRPr="0075237C">
        <w:rPr>
          <w:rFonts w:eastAsia="Arial" w:cs="Arial"/>
          <w:color w:val="000000"/>
          <w:szCs w:val="24"/>
        </w:rPr>
        <w:t>Nombre de la organización a la que pertenece, en su caso;</w:t>
      </w:r>
    </w:p>
    <w:p w14:paraId="3EFACCA0" w14:textId="393F490F" w:rsidR="006373FB" w:rsidRPr="0075237C" w:rsidRDefault="00C7387D" w:rsidP="00D065D8">
      <w:pPr>
        <w:pStyle w:val="Prrafodelista"/>
        <w:numPr>
          <w:ilvl w:val="0"/>
          <w:numId w:val="38"/>
        </w:numPr>
        <w:spacing w:after="0" w:line="276" w:lineRule="auto"/>
        <w:rPr>
          <w:rFonts w:eastAsia="Arial" w:cs="Arial"/>
          <w:color w:val="000000"/>
          <w:szCs w:val="24"/>
        </w:rPr>
      </w:pPr>
      <w:r>
        <w:rPr>
          <w:rFonts w:eastAsia="Arial" w:cs="Arial"/>
          <w:color w:val="000000"/>
          <w:szCs w:val="24"/>
        </w:rPr>
        <w:t>Proceso de Revocación de Mandato</w:t>
      </w:r>
      <w:r w:rsidR="006373FB" w:rsidRPr="0075237C">
        <w:rPr>
          <w:rFonts w:eastAsia="Arial" w:cs="Arial"/>
          <w:color w:val="000000"/>
          <w:szCs w:val="24"/>
        </w:rPr>
        <w:t xml:space="preserve"> que observó;</w:t>
      </w:r>
    </w:p>
    <w:p w14:paraId="3688F9A1" w14:textId="32160981" w:rsidR="006373FB" w:rsidRPr="0075237C" w:rsidRDefault="006373FB" w:rsidP="00D065D8">
      <w:pPr>
        <w:pStyle w:val="Prrafodelista"/>
        <w:numPr>
          <w:ilvl w:val="0"/>
          <w:numId w:val="38"/>
        </w:numPr>
        <w:spacing w:after="0" w:line="276" w:lineRule="auto"/>
        <w:rPr>
          <w:rFonts w:eastAsia="Arial" w:cs="Arial"/>
          <w:color w:val="000000"/>
          <w:szCs w:val="24"/>
        </w:rPr>
      </w:pPr>
      <w:r w:rsidRPr="0075237C">
        <w:rPr>
          <w:rFonts w:eastAsia="Arial" w:cs="Arial"/>
          <w:color w:val="000000"/>
          <w:szCs w:val="24"/>
        </w:rPr>
        <w:t>Distrito electoral local y municipio en que participó;</w:t>
      </w:r>
    </w:p>
    <w:p w14:paraId="3FDD77B8" w14:textId="5E6DFC98" w:rsidR="006373FB" w:rsidRPr="0075237C" w:rsidRDefault="006373FB" w:rsidP="00D065D8">
      <w:pPr>
        <w:pStyle w:val="Prrafodelista"/>
        <w:numPr>
          <w:ilvl w:val="0"/>
          <w:numId w:val="38"/>
        </w:numPr>
        <w:spacing w:after="0" w:line="276" w:lineRule="auto"/>
        <w:rPr>
          <w:rFonts w:eastAsia="Arial" w:cs="Arial"/>
          <w:color w:val="000000"/>
          <w:szCs w:val="24"/>
        </w:rPr>
      </w:pPr>
      <w:r w:rsidRPr="0075237C">
        <w:rPr>
          <w:rFonts w:eastAsia="Arial" w:cs="Arial"/>
          <w:color w:val="000000"/>
          <w:szCs w:val="24"/>
        </w:rPr>
        <w:t>Etapas del proceso de Revocación de Mandato en que participó;</w:t>
      </w:r>
    </w:p>
    <w:p w14:paraId="2E46ACB4" w14:textId="77777777" w:rsidR="006373FB" w:rsidRPr="0075237C" w:rsidRDefault="006373FB" w:rsidP="00D065D8">
      <w:pPr>
        <w:pStyle w:val="Prrafodelista"/>
        <w:numPr>
          <w:ilvl w:val="0"/>
          <w:numId w:val="38"/>
        </w:numPr>
        <w:spacing w:after="0" w:line="276" w:lineRule="auto"/>
        <w:rPr>
          <w:rFonts w:eastAsia="Arial" w:cs="Arial"/>
          <w:color w:val="000000"/>
          <w:szCs w:val="24"/>
        </w:rPr>
      </w:pPr>
      <w:r w:rsidRPr="0075237C">
        <w:rPr>
          <w:rFonts w:eastAsia="Arial" w:cs="Arial"/>
          <w:color w:val="000000"/>
          <w:szCs w:val="24"/>
        </w:rPr>
        <w:t>Durante la Jornada de Revocación de Mandato, a cuántas y cuales casillas acudió; y</w:t>
      </w:r>
    </w:p>
    <w:p w14:paraId="685C4D94" w14:textId="77777777" w:rsidR="006373FB" w:rsidRPr="0075237C" w:rsidRDefault="006373FB" w:rsidP="00D065D8">
      <w:pPr>
        <w:pStyle w:val="Prrafodelista"/>
        <w:numPr>
          <w:ilvl w:val="0"/>
          <w:numId w:val="38"/>
        </w:numPr>
        <w:spacing w:after="0" w:line="276" w:lineRule="auto"/>
        <w:rPr>
          <w:rFonts w:eastAsia="Arial" w:cs="Arial"/>
          <w:color w:val="000000"/>
          <w:szCs w:val="24"/>
        </w:rPr>
      </w:pPr>
      <w:r w:rsidRPr="0075237C">
        <w:rPr>
          <w:rFonts w:eastAsia="Arial" w:cs="Arial"/>
          <w:color w:val="000000"/>
          <w:szCs w:val="24"/>
        </w:rPr>
        <w:t>Descripción de las actividades realizadas.</w:t>
      </w:r>
    </w:p>
    <w:p w14:paraId="1525A4A8" w14:textId="77777777" w:rsidR="00A656B3" w:rsidRPr="0075237C" w:rsidRDefault="00A656B3" w:rsidP="00AE4926">
      <w:pPr>
        <w:spacing w:after="0" w:line="276" w:lineRule="auto"/>
        <w:rPr>
          <w:rStyle w:val="nfasis"/>
          <w:rFonts w:eastAsia="Arial" w:cs="Arial"/>
          <w:i w:val="0"/>
          <w:iCs w:val="0"/>
          <w:color w:val="000000"/>
          <w:szCs w:val="24"/>
        </w:rPr>
      </w:pPr>
    </w:p>
    <w:p w14:paraId="63CA58EA" w14:textId="3266A9D6" w:rsidR="00D065D8" w:rsidRPr="00650E2B" w:rsidRDefault="00D065D8" w:rsidP="00D065D8">
      <w:pPr>
        <w:numPr>
          <w:ilvl w:val="0"/>
          <w:numId w:val="2"/>
        </w:numPr>
        <w:spacing w:after="0" w:line="276" w:lineRule="auto"/>
      </w:pPr>
      <w:r w:rsidRPr="00650E2B">
        <w:rPr>
          <w:rFonts w:eastAsia="Arial" w:cs="Arial"/>
        </w:rPr>
        <w:t xml:space="preserve">La DEECyPC, </w:t>
      </w:r>
      <w:r w:rsidRPr="00650E2B">
        <w:t xml:space="preserve">será el área responsable de concentrar y sistematizar los informes presentados por la ciudadanía acreditada como observadora </w:t>
      </w:r>
      <w:r w:rsidR="00132CF6">
        <w:t xml:space="preserve">en el proceso de Revocación de Mandato </w:t>
      </w:r>
      <w:r w:rsidRPr="00650E2B">
        <w:t>dentro del plazo previsto y de remitir dicha información a la Secretaría ejecutiva.</w:t>
      </w:r>
    </w:p>
    <w:p w14:paraId="0345FBF2" w14:textId="77777777" w:rsidR="0095796D" w:rsidRPr="0075237C" w:rsidRDefault="0095796D" w:rsidP="0095796D">
      <w:pPr>
        <w:spacing w:after="0" w:line="276" w:lineRule="auto"/>
        <w:ind w:left="720"/>
        <w:rPr>
          <w:rFonts w:eastAsia="Arial" w:cs="Arial"/>
          <w:color w:val="000000"/>
          <w:szCs w:val="24"/>
        </w:rPr>
      </w:pPr>
    </w:p>
    <w:p w14:paraId="7094414A" w14:textId="3F21465D" w:rsidR="00603294" w:rsidRPr="0075237C" w:rsidRDefault="0095796D" w:rsidP="00E50841">
      <w:pPr>
        <w:numPr>
          <w:ilvl w:val="0"/>
          <w:numId w:val="2"/>
        </w:numPr>
        <w:spacing w:after="0" w:line="276" w:lineRule="auto"/>
        <w:rPr>
          <w:rFonts w:eastAsia="Arial" w:cs="Arial"/>
          <w:color w:val="000000"/>
          <w:szCs w:val="24"/>
        </w:rPr>
      </w:pPr>
      <w:r w:rsidRPr="0075237C">
        <w:lastRenderedPageBreak/>
        <w:t>D</w:t>
      </w:r>
      <w:r w:rsidR="00A656B3" w:rsidRPr="0075237C">
        <w:t xml:space="preserve">e conformidad con el artículo </w:t>
      </w:r>
      <w:r w:rsidR="007875EA" w:rsidRPr="0075237C">
        <w:t xml:space="preserve">211, numeral 3, del </w:t>
      </w:r>
      <w:r w:rsidR="00D065D8" w:rsidRPr="00650E2B">
        <w:t>RE</w:t>
      </w:r>
      <w:r w:rsidR="007875EA" w:rsidRPr="00650E2B">
        <w:t>,</w:t>
      </w:r>
      <w:r w:rsidR="007875EA" w:rsidRPr="0075237C">
        <w:t xml:space="preserve"> la Secretaría Ejecutiva, </w:t>
      </w:r>
      <w:r w:rsidR="00913F5E" w:rsidRPr="0075237C">
        <w:t xml:space="preserve">será responsable de entregar </w:t>
      </w:r>
      <w:r w:rsidRPr="0075237C">
        <w:t>la información concentrada y sistematizada al Consejo General</w:t>
      </w:r>
      <w:r w:rsidR="00AA243E" w:rsidRPr="0075237C">
        <w:t xml:space="preserve">; y gestionar su publicación en la página electrónica del Instituto, previa protección de datos personales. </w:t>
      </w:r>
    </w:p>
    <w:p w14:paraId="63E80CCB" w14:textId="583FB85D" w:rsidR="006C7710" w:rsidRPr="00F74C7F" w:rsidRDefault="006C7710" w:rsidP="00F74C7F">
      <w:pPr>
        <w:spacing w:after="0" w:line="276" w:lineRule="auto"/>
        <w:rPr>
          <w:rFonts w:cs="Arial"/>
          <w:b/>
          <w:bCs/>
          <w:szCs w:val="24"/>
        </w:rPr>
      </w:pPr>
    </w:p>
    <w:p w14:paraId="6BCE9F1F" w14:textId="01B3608F" w:rsidR="00F859FB" w:rsidRPr="00F74C7F" w:rsidRDefault="00F859FB" w:rsidP="00F74C7F">
      <w:pPr>
        <w:spacing w:after="0" w:line="276" w:lineRule="auto"/>
        <w:rPr>
          <w:rFonts w:cs="Arial"/>
          <w:szCs w:val="24"/>
        </w:rPr>
      </w:pPr>
      <w:r w:rsidRPr="00C64753">
        <w:rPr>
          <w:rFonts w:cs="Arial"/>
          <w:szCs w:val="24"/>
        </w:rPr>
        <w:t xml:space="preserve">Por lo antes fundado y motivado, el Consejo General de este Instituto Estatal Electoral y de Participación Ciudadana de Oaxaca, de conformidad con lo dispuesto por los artículos 1, párrafo primero; 41 base V, apartado C, numeral 9; 116, fracciones I y IV, inciso b) y c) de la Constitución Local; 7, numeral 4, 98, párrafos 1 y 2; 104, numeral 1, incisos a), ñ) y r) de la LGIPE; 23; 25, apartado C, fracción III, inciso a), b) párrafo tercero, e), y apartado D; 114 TER, párrafo primero de la Constitución Local; 14, numeral 1, fracción I; 30, párrafos 1, 2, 3 y 5; 31, fracciones I, II, IV y X; 32 fracción XV; 35, numeral 1, 38, fracciones I, II, III, XXXII y XLIX de la LIPEEO; el artículo 4; 5; 7; 8; 9; 11; 21; 22; 23; 28; 29 fracción III y </w:t>
      </w:r>
      <w:r w:rsidR="00C64753" w:rsidRPr="00C64753">
        <w:rPr>
          <w:rFonts w:cs="Arial"/>
          <w:szCs w:val="24"/>
        </w:rPr>
        <w:t>51</w:t>
      </w:r>
      <w:r w:rsidRPr="00C64753">
        <w:rPr>
          <w:rFonts w:cs="Arial"/>
          <w:szCs w:val="24"/>
        </w:rPr>
        <w:t xml:space="preserve"> de la LRM; se emite el siguiente:</w:t>
      </w:r>
    </w:p>
    <w:p w14:paraId="10A1DBDF" w14:textId="77777777" w:rsidR="002F4836" w:rsidRPr="00F74C7F" w:rsidRDefault="002F4836" w:rsidP="00F74C7F">
      <w:pPr>
        <w:spacing w:after="0" w:line="276" w:lineRule="auto"/>
        <w:rPr>
          <w:rFonts w:cs="Arial"/>
          <w:szCs w:val="24"/>
        </w:rPr>
      </w:pPr>
    </w:p>
    <w:p w14:paraId="39180EBC" w14:textId="596C5DAE" w:rsidR="00F859FB" w:rsidRPr="00A21832" w:rsidRDefault="00F859FB" w:rsidP="00F74C7F">
      <w:pPr>
        <w:spacing w:after="0" w:line="276" w:lineRule="auto"/>
        <w:jc w:val="center"/>
        <w:rPr>
          <w:rFonts w:cs="Arial"/>
          <w:b/>
          <w:bCs/>
          <w:szCs w:val="24"/>
        </w:rPr>
      </w:pPr>
      <w:r w:rsidRPr="00A21832">
        <w:rPr>
          <w:rFonts w:cs="Arial"/>
          <w:b/>
          <w:bCs/>
          <w:szCs w:val="24"/>
        </w:rPr>
        <w:t>ACUERDO</w:t>
      </w:r>
    </w:p>
    <w:p w14:paraId="2D52BFCB" w14:textId="77777777" w:rsidR="002F4836" w:rsidRPr="00A21832" w:rsidRDefault="002F4836" w:rsidP="00F74C7F">
      <w:pPr>
        <w:spacing w:after="0" w:line="276" w:lineRule="auto"/>
        <w:jc w:val="center"/>
        <w:rPr>
          <w:rFonts w:cs="Arial"/>
          <w:b/>
          <w:bCs/>
          <w:szCs w:val="24"/>
        </w:rPr>
      </w:pPr>
    </w:p>
    <w:p w14:paraId="5D870E44" w14:textId="3242D8F3" w:rsidR="00720789" w:rsidRDefault="00F859FB" w:rsidP="00AE4926">
      <w:pPr>
        <w:spacing w:line="276" w:lineRule="auto"/>
        <w:rPr>
          <w:rFonts w:cs="Arial"/>
          <w:szCs w:val="24"/>
        </w:rPr>
      </w:pPr>
      <w:r w:rsidRPr="00A21832">
        <w:rPr>
          <w:rFonts w:cs="Arial"/>
          <w:b/>
          <w:bCs/>
          <w:szCs w:val="24"/>
        </w:rPr>
        <w:t>PRIMERO.</w:t>
      </w:r>
      <w:r w:rsidRPr="00A21832">
        <w:rPr>
          <w:rFonts w:cs="Arial"/>
          <w:szCs w:val="24"/>
        </w:rPr>
        <w:t xml:space="preserve"> Se aprueban los </w:t>
      </w:r>
      <w:r w:rsidR="00AA0905" w:rsidRPr="00A21832">
        <w:rPr>
          <w:rFonts w:cs="Arial"/>
          <w:szCs w:val="24"/>
        </w:rPr>
        <w:t>L</w:t>
      </w:r>
      <w:r w:rsidRPr="00A21832">
        <w:rPr>
          <w:rFonts w:cs="Arial"/>
          <w:szCs w:val="24"/>
        </w:rPr>
        <w:t xml:space="preserve">ineamientos del Instituto Estatal Electoral y de Participación Ciudadana de Oaxaca </w:t>
      </w:r>
      <w:r w:rsidR="00E37FCA" w:rsidRPr="00A21832">
        <w:rPr>
          <w:rFonts w:cs="Arial"/>
          <w:szCs w:val="24"/>
        </w:rPr>
        <w:t xml:space="preserve">para la implementación de la observación </w:t>
      </w:r>
      <w:r w:rsidR="00E37FCA" w:rsidRPr="00650E2B">
        <w:rPr>
          <w:rFonts w:cs="Arial"/>
          <w:szCs w:val="24"/>
        </w:rPr>
        <w:t xml:space="preserve">durante el proceso de </w:t>
      </w:r>
      <w:r w:rsidR="00AA0905" w:rsidRPr="00650E2B">
        <w:rPr>
          <w:rFonts w:cs="Arial"/>
          <w:szCs w:val="24"/>
        </w:rPr>
        <w:t>R</w:t>
      </w:r>
      <w:r w:rsidR="00E37FCA" w:rsidRPr="00650E2B">
        <w:rPr>
          <w:rFonts w:cs="Arial"/>
          <w:szCs w:val="24"/>
        </w:rPr>
        <w:t xml:space="preserve">evocación de </w:t>
      </w:r>
      <w:r w:rsidR="00AA0905" w:rsidRPr="00650E2B">
        <w:rPr>
          <w:rFonts w:cs="Arial"/>
          <w:szCs w:val="24"/>
        </w:rPr>
        <w:t>M</w:t>
      </w:r>
      <w:r w:rsidR="00E37FCA" w:rsidRPr="00650E2B">
        <w:rPr>
          <w:rFonts w:cs="Arial"/>
          <w:szCs w:val="24"/>
        </w:rPr>
        <w:t xml:space="preserve">andato de la persona titular de la </w:t>
      </w:r>
      <w:r w:rsidR="00AC26D5" w:rsidRPr="00650E2B">
        <w:rPr>
          <w:rFonts w:cs="Arial"/>
          <w:szCs w:val="24"/>
        </w:rPr>
        <w:t>G</w:t>
      </w:r>
      <w:r w:rsidR="00E37FCA" w:rsidRPr="00650E2B">
        <w:rPr>
          <w:rFonts w:cs="Arial"/>
          <w:szCs w:val="24"/>
        </w:rPr>
        <w:t xml:space="preserve">ubernatura del </w:t>
      </w:r>
      <w:r w:rsidR="00AC26D5" w:rsidRPr="00650E2B">
        <w:rPr>
          <w:rFonts w:cs="Arial"/>
          <w:szCs w:val="24"/>
        </w:rPr>
        <w:t>E</w:t>
      </w:r>
      <w:r w:rsidR="00E37FCA" w:rsidRPr="00650E2B">
        <w:rPr>
          <w:rFonts w:cs="Arial"/>
          <w:szCs w:val="24"/>
        </w:rPr>
        <w:t>stado de Oaxaca para el periodo constitucional 2022-2028</w:t>
      </w:r>
      <w:r w:rsidRPr="00650E2B">
        <w:rPr>
          <w:rFonts w:cs="Arial"/>
          <w:szCs w:val="24"/>
        </w:rPr>
        <w:t xml:space="preserve">, </w:t>
      </w:r>
      <w:r w:rsidR="00E37FCA" w:rsidRPr="00650E2B">
        <w:rPr>
          <w:rFonts w:cs="Arial"/>
          <w:szCs w:val="24"/>
        </w:rPr>
        <w:t xml:space="preserve">el cual </w:t>
      </w:r>
      <w:r w:rsidRPr="00650E2B">
        <w:rPr>
          <w:rFonts w:cs="Arial"/>
          <w:szCs w:val="24"/>
        </w:rPr>
        <w:t xml:space="preserve">forma parte integral del presente </w:t>
      </w:r>
      <w:r w:rsidR="004038AB" w:rsidRPr="00650E2B">
        <w:rPr>
          <w:rFonts w:cs="Arial"/>
          <w:szCs w:val="24"/>
        </w:rPr>
        <w:t>a</w:t>
      </w:r>
      <w:r w:rsidRPr="00650E2B">
        <w:rPr>
          <w:rFonts w:cs="Arial"/>
          <w:szCs w:val="24"/>
        </w:rPr>
        <w:t>cuerdo.</w:t>
      </w:r>
      <w:r w:rsidRPr="00A21832">
        <w:rPr>
          <w:rFonts w:cs="Arial"/>
          <w:szCs w:val="24"/>
        </w:rPr>
        <w:t xml:space="preserve"> </w:t>
      </w:r>
    </w:p>
    <w:p w14:paraId="43E481F6" w14:textId="77777777" w:rsidR="00042D2F" w:rsidRPr="00A21832" w:rsidRDefault="00042D2F" w:rsidP="00AE4926">
      <w:pPr>
        <w:spacing w:line="276" w:lineRule="auto"/>
        <w:rPr>
          <w:rFonts w:cs="Arial"/>
          <w:szCs w:val="24"/>
        </w:rPr>
      </w:pPr>
    </w:p>
    <w:p w14:paraId="45006118" w14:textId="7430D875" w:rsidR="00E37FCA" w:rsidRDefault="00F859FB" w:rsidP="00AE4926">
      <w:pPr>
        <w:spacing w:line="276" w:lineRule="auto"/>
        <w:rPr>
          <w:rFonts w:cs="Arial"/>
          <w:szCs w:val="24"/>
        </w:rPr>
      </w:pPr>
      <w:r w:rsidRPr="00A21832">
        <w:rPr>
          <w:rFonts w:cs="Arial"/>
          <w:b/>
          <w:bCs/>
          <w:szCs w:val="24"/>
        </w:rPr>
        <w:t>SEGUNDO.</w:t>
      </w:r>
      <w:r w:rsidRPr="00A21832">
        <w:rPr>
          <w:rFonts w:cs="Arial"/>
          <w:szCs w:val="24"/>
        </w:rPr>
        <w:t xml:space="preserve"> </w:t>
      </w:r>
      <w:r w:rsidR="00E37FCA" w:rsidRPr="00A21832">
        <w:rPr>
          <w:rFonts w:cs="Arial"/>
          <w:szCs w:val="24"/>
        </w:rPr>
        <w:t xml:space="preserve">Se aprueba la </w:t>
      </w:r>
      <w:r w:rsidR="004620E3" w:rsidRPr="00650E2B">
        <w:rPr>
          <w:rFonts w:cs="Arial"/>
          <w:szCs w:val="24"/>
        </w:rPr>
        <w:t>C</w:t>
      </w:r>
      <w:r w:rsidR="00E37FCA" w:rsidRPr="00650E2B">
        <w:rPr>
          <w:rFonts w:cs="Arial"/>
          <w:szCs w:val="24"/>
        </w:rPr>
        <w:t>onvocatoria</w:t>
      </w:r>
      <w:r w:rsidR="00611B61">
        <w:rPr>
          <w:rFonts w:cs="Arial"/>
          <w:szCs w:val="24"/>
        </w:rPr>
        <w:t xml:space="preserve"> </w:t>
      </w:r>
      <w:r w:rsidR="002156DD" w:rsidRPr="00650E2B">
        <w:rPr>
          <w:rFonts w:cs="Arial"/>
          <w:szCs w:val="24"/>
        </w:rPr>
        <w:t>dirigida a</w:t>
      </w:r>
      <w:r w:rsidR="005B60A3" w:rsidRPr="00650E2B">
        <w:rPr>
          <w:rFonts w:cs="Arial"/>
          <w:szCs w:val="24"/>
        </w:rPr>
        <w:t xml:space="preserve"> la</w:t>
      </w:r>
      <w:r w:rsidR="005B60A3" w:rsidRPr="00A21832">
        <w:rPr>
          <w:rFonts w:cs="Arial"/>
          <w:szCs w:val="24"/>
        </w:rPr>
        <w:t xml:space="preserve"> ciudadanía interesada en realizar actividades de </w:t>
      </w:r>
      <w:r w:rsidR="005B60A3" w:rsidRPr="00650E2B">
        <w:rPr>
          <w:rFonts w:cs="Arial"/>
          <w:szCs w:val="24"/>
        </w:rPr>
        <w:t xml:space="preserve">observación </w:t>
      </w:r>
      <w:r w:rsidR="002156DD" w:rsidRPr="00650E2B">
        <w:rPr>
          <w:rFonts w:cs="Arial"/>
          <w:szCs w:val="24"/>
        </w:rPr>
        <w:t>d</w:t>
      </w:r>
      <w:r w:rsidR="005B60A3" w:rsidRPr="00650E2B">
        <w:rPr>
          <w:rFonts w:cs="Arial"/>
          <w:szCs w:val="24"/>
        </w:rPr>
        <w:t xml:space="preserve">el proceso de </w:t>
      </w:r>
      <w:r w:rsidR="00AA0905" w:rsidRPr="00650E2B">
        <w:rPr>
          <w:rFonts w:cs="Arial"/>
          <w:szCs w:val="24"/>
        </w:rPr>
        <w:t>R</w:t>
      </w:r>
      <w:r w:rsidR="005B60A3" w:rsidRPr="00650E2B">
        <w:rPr>
          <w:rFonts w:cs="Arial"/>
          <w:szCs w:val="24"/>
        </w:rPr>
        <w:t xml:space="preserve">evocación de </w:t>
      </w:r>
      <w:r w:rsidR="00AA0905" w:rsidRPr="00650E2B">
        <w:rPr>
          <w:rFonts w:cs="Arial"/>
          <w:szCs w:val="24"/>
        </w:rPr>
        <w:t>M</w:t>
      </w:r>
      <w:r w:rsidR="005B60A3" w:rsidRPr="00650E2B">
        <w:rPr>
          <w:rFonts w:cs="Arial"/>
          <w:szCs w:val="24"/>
        </w:rPr>
        <w:t xml:space="preserve">andato de la persona titular de la </w:t>
      </w:r>
      <w:r w:rsidR="00093424" w:rsidRPr="00650E2B">
        <w:rPr>
          <w:rFonts w:cs="Arial"/>
          <w:szCs w:val="24"/>
        </w:rPr>
        <w:t>G</w:t>
      </w:r>
      <w:r w:rsidR="005B60A3" w:rsidRPr="00650E2B">
        <w:rPr>
          <w:rFonts w:cs="Arial"/>
          <w:szCs w:val="24"/>
        </w:rPr>
        <w:t xml:space="preserve">ubernatura del </w:t>
      </w:r>
      <w:r w:rsidR="00093424" w:rsidRPr="00650E2B">
        <w:rPr>
          <w:rFonts w:cs="Arial"/>
          <w:szCs w:val="24"/>
        </w:rPr>
        <w:t>E</w:t>
      </w:r>
      <w:r w:rsidR="005B60A3" w:rsidRPr="00650E2B">
        <w:rPr>
          <w:rFonts w:cs="Arial"/>
          <w:szCs w:val="24"/>
        </w:rPr>
        <w:t>stado de Oaxaca para el periodo constitucional 2022-2028</w:t>
      </w:r>
      <w:r w:rsidR="00A4699D">
        <w:rPr>
          <w:rFonts w:cs="Arial"/>
          <w:szCs w:val="24"/>
        </w:rPr>
        <w:t>.</w:t>
      </w:r>
    </w:p>
    <w:p w14:paraId="1DE90772" w14:textId="77777777" w:rsidR="00042D2F" w:rsidRPr="00A21832" w:rsidRDefault="00042D2F" w:rsidP="00AE4926">
      <w:pPr>
        <w:spacing w:line="276" w:lineRule="auto"/>
        <w:rPr>
          <w:rFonts w:cs="Arial"/>
          <w:szCs w:val="24"/>
        </w:rPr>
      </w:pPr>
    </w:p>
    <w:p w14:paraId="34CE542D" w14:textId="7012B5FF" w:rsidR="00E37FCA" w:rsidRDefault="00770FFF" w:rsidP="00F74C7F">
      <w:pPr>
        <w:spacing w:after="0" w:line="276" w:lineRule="auto"/>
        <w:rPr>
          <w:rFonts w:cs="Arial"/>
          <w:szCs w:val="24"/>
        </w:rPr>
      </w:pPr>
      <w:r w:rsidRPr="00A21832">
        <w:rPr>
          <w:rFonts w:cs="Arial"/>
          <w:b/>
          <w:bCs/>
          <w:szCs w:val="24"/>
        </w:rPr>
        <w:t xml:space="preserve">TERCERO. </w:t>
      </w:r>
      <w:r w:rsidRPr="00A21832">
        <w:rPr>
          <w:rFonts w:cs="Arial"/>
          <w:szCs w:val="24"/>
        </w:rPr>
        <w:t xml:space="preserve">Se vincula a la Dirección Ejecutiva de Educación Cívica y Participación Ciudadana, para que realice las acciones tendientes a la </w:t>
      </w:r>
      <w:r w:rsidR="00C2403C" w:rsidRPr="00A21832">
        <w:rPr>
          <w:rFonts w:cs="Arial"/>
          <w:szCs w:val="24"/>
        </w:rPr>
        <w:t xml:space="preserve">coordinación, </w:t>
      </w:r>
      <w:r w:rsidRPr="00A21832">
        <w:rPr>
          <w:rFonts w:cs="Arial"/>
          <w:szCs w:val="24"/>
        </w:rPr>
        <w:t xml:space="preserve">organización, desarrollo y vigilancia de la observación </w:t>
      </w:r>
      <w:r w:rsidR="00D34584" w:rsidRPr="00650E2B">
        <w:rPr>
          <w:rFonts w:cs="Arial"/>
          <w:szCs w:val="24"/>
        </w:rPr>
        <w:t>d</w:t>
      </w:r>
      <w:r w:rsidRPr="00650E2B">
        <w:rPr>
          <w:rFonts w:cs="Arial"/>
          <w:szCs w:val="24"/>
        </w:rPr>
        <w:t xml:space="preserve">el proceso de </w:t>
      </w:r>
      <w:r w:rsidR="00AA0905" w:rsidRPr="00650E2B">
        <w:rPr>
          <w:rFonts w:cs="Arial"/>
          <w:szCs w:val="24"/>
        </w:rPr>
        <w:t>R</w:t>
      </w:r>
      <w:r w:rsidRPr="00650E2B">
        <w:rPr>
          <w:rFonts w:cs="Arial"/>
          <w:szCs w:val="24"/>
        </w:rPr>
        <w:t xml:space="preserve">evocación de </w:t>
      </w:r>
      <w:r w:rsidR="00AA0905" w:rsidRPr="00650E2B">
        <w:rPr>
          <w:rFonts w:cs="Arial"/>
          <w:szCs w:val="24"/>
        </w:rPr>
        <w:t>M</w:t>
      </w:r>
      <w:r w:rsidRPr="00650E2B">
        <w:rPr>
          <w:rFonts w:cs="Arial"/>
          <w:szCs w:val="24"/>
        </w:rPr>
        <w:t xml:space="preserve">andato de la persona titular de la </w:t>
      </w:r>
      <w:r w:rsidR="00D34584" w:rsidRPr="00650E2B">
        <w:rPr>
          <w:rFonts w:cs="Arial"/>
          <w:szCs w:val="24"/>
        </w:rPr>
        <w:t>G</w:t>
      </w:r>
      <w:r w:rsidRPr="00650E2B">
        <w:rPr>
          <w:rFonts w:cs="Arial"/>
          <w:szCs w:val="24"/>
        </w:rPr>
        <w:t xml:space="preserve">ubernatura del </w:t>
      </w:r>
      <w:r w:rsidR="00D34584" w:rsidRPr="00650E2B">
        <w:rPr>
          <w:rFonts w:cs="Arial"/>
          <w:szCs w:val="24"/>
        </w:rPr>
        <w:t>E</w:t>
      </w:r>
      <w:r w:rsidRPr="00650E2B">
        <w:rPr>
          <w:rFonts w:cs="Arial"/>
          <w:szCs w:val="24"/>
        </w:rPr>
        <w:t>stado de Oaxaca para el periodo constitucional 2022-2028</w:t>
      </w:r>
      <w:r w:rsidR="00B44AA0" w:rsidRPr="00650E2B">
        <w:rPr>
          <w:rFonts w:cs="Arial"/>
          <w:szCs w:val="24"/>
        </w:rPr>
        <w:t>;</w:t>
      </w:r>
      <w:r w:rsidR="00903AB7" w:rsidRPr="00650E2B">
        <w:rPr>
          <w:rFonts w:cs="Arial"/>
          <w:szCs w:val="24"/>
        </w:rPr>
        <w:t xml:space="preserve"> </w:t>
      </w:r>
      <w:r w:rsidR="00B44AA0" w:rsidRPr="00650E2B">
        <w:rPr>
          <w:rFonts w:cs="Arial"/>
          <w:szCs w:val="24"/>
        </w:rPr>
        <w:t>a</w:t>
      </w:r>
      <w:r w:rsidR="00903AB7" w:rsidRPr="00650E2B">
        <w:rPr>
          <w:rFonts w:cs="Arial"/>
          <w:szCs w:val="24"/>
        </w:rPr>
        <w:t xml:space="preserve">sí como la recepción de los informes que podrán presentar las personas observadoras </w:t>
      </w:r>
      <w:r w:rsidR="00A721CC" w:rsidRPr="00650E2B">
        <w:rPr>
          <w:rFonts w:cs="Arial"/>
          <w:szCs w:val="24"/>
        </w:rPr>
        <w:t>y organizaciones</w:t>
      </w:r>
      <w:r w:rsidR="003F541D">
        <w:rPr>
          <w:rFonts w:cs="Arial"/>
          <w:szCs w:val="24"/>
        </w:rPr>
        <w:t>.</w:t>
      </w:r>
    </w:p>
    <w:p w14:paraId="223947D4" w14:textId="77777777" w:rsidR="00042D2F" w:rsidRPr="00A21832" w:rsidRDefault="00042D2F" w:rsidP="00F74C7F">
      <w:pPr>
        <w:spacing w:after="0" w:line="276" w:lineRule="auto"/>
        <w:rPr>
          <w:rFonts w:cs="Arial"/>
          <w:szCs w:val="24"/>
        </w:rPr>
      </w:pPr>
    </w:p>
    <w:p w14:paraId="0FE1166A" w14:textId="4925963B" w:rsidR="00770FFF" w:rsidRPr="00A21832" w:rsidRDefault="00770FFF" w:rsidP="00F74C7F">
      <w:pPr>
        <w:spacing w:after="0" w:line="276" w:lineRule="auto"/>
        <w:rPr>
          <w:rFonts w:cs="Arial"/>
          <w:szCs w:val="24"/>
        </w:rPr>
      </w:pPr>
    </w:p>
    <w:p w14:paraId="5D1D09EF" w14:textId="1D2323C8" w:rsidR="005100DF" w:rsidRDefault="00770FFF" w:rsidP="00F74C7F">
      <w:pPr>
        <w:spacing w:line="276" w:lineRule="auto"/>
        <w:rPr>
          <w:rFonts w:cs="Arial"/>
        </w:rPr>
      </w:pPr>
      <w:r w:rsidRPr="00A21832">
        <w:rPr>
          <w:rFonts w:cs="Arial"/>
          <w:b/>
          <w:bCs/>
          <w:szCs w:val="24"/>
        </w:rPr>
        <w:t xml:space="preserve">CUARTO. </w:t>
      </w:r>
      <w:r w:rsidR="000D27B1" w:rsidRPr="7A35F80D">
        <w:rPr>
          <w:rFonts w:cs="Arial"/>
        </w:rPr>
        <w:t xml:space="preserve">Se vincula a la Unidad Técnica de Servicios de Informática y Documentación para que de manera inmediata a la aprobación del resolutivo segundo habilite  la plataforma </w:t>
      </w:r>
      <w:r w:rsidR="000D27B1" w:rsidRPr="00650E2B">
        <w:rPr>
          <w:rFonts w:cs="Arial"/>
        </w:rPr>
        <w:t xml:space="preserve">virtual con los elementos necesarios para la </w:t>
      </w:r>
      <w:r w:rsidR="000D27B1" w:rsidRPr="00650E2B">
        <w:rPr>
          <w:rFonts w:cs="Arial"/>
        </w:rPr>
        <w:lastRenderedPageBreak/>
        <w:t>recepción, trámite, y acreditación de las solicitudes de la ciudadanía interesada en realizar actividades de observación en el proceso de Revocación de Mandato de la persona titular de la Gubernatura del Estado de O</w:t>
      </w:r>
      <w:r w:rsidR="000D27B1" w:rsidRPr="7A35F80D">
        <w:rPr>
          <w:rFonts w:cs="Arial"/>
        </w:rPr>
        <w:t xml:space="preserve">axaca para el periodo constitucional 2022-2028, en los términos precisados en el apartado quinto del presente Acuerdo.  </w:t>
      </w:r>
    </w:p>
    <w:p w14:paraId="357B0A72" w14:textId="77777777" w:rsidR="00042D2F" w:rsidRPr="000D27B1" w:rsidRDefault="00042D2F" w:rsidP="00F74C7F">
      <w:pPr>
        <w:spacing w:line="276" w:lineRule="auto"/>
        <w:rPr>
          <w:rFonts w:cs="Arial"/>
        </w:rPr>
      </w:pPr>
    </w:p>
    <w:p w14:paraId="778C9DE9" w14:textId="6820689A" w:rsidR="005100DF" w:rsidRDefault="00C056A0" w:rsidP="00F74C7F">
      <w:pPr>
        <w:spacing w:line="276" w:lineRule="auto"/>
        <w:rPr>
          <w:rFonts w:cs="Arial"/>
          <w:szCs w:val="24"/>
        </w:rPr>
      </w:pPr>
      <w:r w:rsidRPr="00A21832">
        <w:rPr>
          <w:rFonts w:cs="Arial"/>
          <w:b/>
          <w:bCs/>
          <w:szCs w:val="24"/>
        </w:rPr>
        <w:t>QUINTO</w:t>
      </w:r>
      <w:r w:rsidR="005100DF" w:rsidRPr="00A21832">
        <w:rPr>
          <w:rFonts w:cs="Arial"/>
          <w:b/>
          <w:bCs/>
          <w:szCs w:val="24"/>
        </w:rPr>
        <w:t xml:space="preserve">. </w:t>
      </w:r>
      <w:r w:rsidR="0047509A" w:rsidRPr="00A21832">
        <w:rPr>
          <w:rFonts w:cs="Arial"/>
          <w:szCs w:val="24"/>
        </w:rPr>
        <w:t xml:space="preserve">Se vincula a la Unidad Técnica de Comunicación Social para coadyuvar con la Dirección Ejecutiva de Educación Cívica y Participación Ciudadana en el diseño, elaboración y ejecución de </w:t>
      </w:r>
      <w:r w:rsidR="0047509A" w:rsidRPr="00650E2B">
        <w:rPr>
          <w:rFonts w:cs="Arial"/>
          <w:szCs w:val="24"/>
        </w:rPr>
        <w:t>estrategias para la</w:t>
      </w:r>
      <w:r w:rsidR="0047509A" w:rsidRPr="00A21832">
        <w:rPr>
          <w:rFonts w:cs="Arial"/>
          <w:szCs w:val="24"/>
        </w:rPr>
        <w:t xml:space="preserve"> difusión de los materiales institucionales derivados de la </w:t>
      </w:r>
      <w:r w:rsidR="0045155E" w:rsidRPr="00A21832">
        <w:rPr>
          <w:rFonts w:cs="Arial"/>
          <w:szCs w:val="24"/>
        </w:rPr>
        <w:t>implementación de la observación</w:t>
      </w:r>
      <w:r w:rsidR="000F2BB8">
        <w:rPr>
          <w:rFonts w:cs="Arial"/>
          <w:szCs w:val="24"/>
        </w:rPr>
        <w:t xml:space="preserve"> en el proceso de Revocación de Mandato</w:t>
      </w:r>
      <w:r w:rsidR="0045155E" w:rsidRPr="00A21832">
        <w:rPr>
          <w:rFonts w:cs="Arial"/>
          <w:szCs w:val="24"/>
        </w:rPr>
        <w:t xml:space="preserve">. </w:t>
      </w:r>
    </w:p>
    <w:p w14:paraId="305BFD10" w14:textId="77777777" w:rsidR="00042D2F" w:rsidRPr="00A21832" w:rsidRDefault="00042D2F" w:rsidP="00F74C7F">
      <w:pPr>
        <w:spacing w:line="276" w:lineRule="auto"/>
        <w:rPr>
          <w:rFonts w:cs="Arial"/>
          <w:szCs w:val="24"/>
        </w:rPr>
      </w:pPr>
    </w:p>
    <w:p w14:paraId="7FDF7641" w14:textId="5C407CAE" w:rsidR="008D4A32" w:rsidRDefault="00F430C3" w:rsidP="00F74C7F">
      <w:pPr>
        <w:spacing w:line="276" w:lineRule="auto"/>
        <w:rPr>
          <w:rFonts w:cs="Arial"/>
          <w:szCs w:val="24"/>
        </w:rPr>
      </w:pPr>
      <w:r w:rsidRPr="00A21832">
        <w:rPr>
          <w:rFonts w:cs="Arial"/>
          <w:b/>
          <w:bCs/>
          <w:szCs w:val="24"/>
        </w:rPr>
        <w:t>SEXTO</w:t>
      </w:r>
      <w:r w:rsidR="00A672A8" w:rsidRPr="00A21832">
        <w:rPr>
          <w:rFonts w:cs="Arial"/>
          <w:b/>
          <w:bCs/>
          <w:szCs w:val="24"/>
        </w:rPr>
        <w:t>.</w:t>
      </w:r>
      <w:r w:rsidR="002B5EBB" w:rsidRPr="00A21832">
        <w:rPr>
          <w:rFonts w:cs="Arial"/>
          <w:b/>
          <w:bCs/>
          <w:szCs w:val="24"/>
        </w:rPr>
        <w:t xml:space="preserve"> </w:t>
      </w:r>
      <w:r w:rsidR="008D4A32" w:rsidRPr="00A21832">
        <w:rPr>
          <w:rFonts w:cs="Arial"/>
          <w:szCs w:val="24"/>
        </w:rPr>
        <w:t>Se vincula a los Consejos Distrital</w:t>
      </w:r>
      <w:r w:rsidR="008D4A32" w:rsidRPr="00650E2B">
        <w:rPr>
          <w:rFonts w:cs="Arial"/>
          <w:szCs w:val="24"/>
        </w:rPr>
        <w:t xml:space="preserve">es </w:t>
      </w:r>
      <w:r w:rsidR="00AC5CA7" w:rsidRPr="00650E2B">
        <w:rPr>
          <w:rFonts w:cs="Arial"/>
          <w:szCs w:val="24"/>
        </w:rPr>
        <w:t>del</w:t>
      </w:r>
      <w:r w:rsidR="008D4A32" w:rsidRPr="00650E2B">
        <w:rPr>
          <w:rFonts w:cs="Arial"/>
          <w:szCs w:val="24"/>
        </w:rPr>
        <w:t xml:space="preserve"> IEEPCO</w:t>
      </w:r>
      <w:r w:rsidR="00AC5CA7" w:rsidRPr="00650E2B">
        <w:rPr>
          <w:rFonts w:cs="Arial"/>
          <w:szCs w:val="24"/>
        </w:rPr>
        <w:t xml:space="preserve"> </w:t>
      </w:r>
      <w:r w:rsidR="000160EF" w:rsidRPr="00650E2B">
        <w:rPr>
          <w:rFonts w:cs="Arial"/>
          <w:szCs w:val="24"/>
        </w:rPr>
        <w:t>para fungir como sedes habilitadas para la recepción y trámite de solicitudes de acreditación</w:t>
      </w:r>
      <w:r w:rsidR="00D41EC7" w:rsidRPr="00650E2B">
        <w:rPr>
          <w:rFonts w:cs="Arial"/>
          <w:szCs w:val="24"/>
        </w:rPr>
        <w:t xml:space="preserve"> de observación</w:t>
      </w:r>
      <w:r w:rsidR="000160EF" w:rsidRPr="00650E2B">
        <w:rPr>
          <w:rFonts w:cs="Arial"/>
          <w:szCs w:val="24"/>
        </w:rPr>
        <w:t xml:space="preserve">, </w:t>
      </w:r>
      <w:r w:rsidR="005879C9" w:rsidRPr="00650E2B">
        <w:rPr>
          <w:rFonts w:cs="Arial"/>
          <w:szCs w:val="24"/>
        </w:rPr>
        <w:t>así como para coadyuvar</w:t>
      </w:r>
      <w:r w:rsidR="008D4A32" w:rsidRPr="00650E2B">
        <w:rPr>
          <w:rFonts w:cs="Arial"/>
          <w:szCs w:val="24"/>
        </w:rPr>
        <w:t xml:space="preserve"> con la Dirección Ejecutiva de Educación Cívica y Participación Ciudadana </w:t>
      </w:r>
      <w:r w:rsidR="005879C9" w:rsidRPr="00650E2B">
        <w:rPr>
          <w:rFonts w:cs="Arial"/>
          <w:szCs w:val="24"/>
        </w:rPr>
        <w:t>en las acciones necesarias para el cumplimiento de los Lineamientos</w:t>
      </w:r>
      <w:r w:rsidR="00733009">
        <w:rPr>
          <w:rFonts w:cs="Arial"/>
          <w:szCs w:val="24"/>
        </w:rPr>
        <w:t xml:space="preserve"> referidos en el resolutivo primero.</w:t>
      </w:r>
    </w:p>
    <w:p w14:paraId="55EFF8A7" w14:textId="77777777" w:rsidR="00042D2F" w:rsidRPr="00A21832" w:rsidRDefault="00042D2F" w:rsidP="00F74C7F">
      <w:pPr>
        <w:spacing w:line="276" w:lineRule="auto"/>
        <w:rPr>
          <w:rFonts w:cs="Arial"/>
          <w:szCs w:val="24"/>
        </w:rPr>
      </w:pPr>
    </w:p>
    <w:p w14:paraId="04F2AE3A" w14:textId="0EFE9A74" w:rsidR="00720789" w:rsidRDefault="00F430C3" w:rsidP="00AE4926">
      <w:pPr>
        <w:spacing w:line="276" w:lineRule="auto"/>
        <w:rPr>
          <w:rFonts w:cs="Arial"/>
          <w:szCs w:val="24"/>
        </w:rPr>
      </w:pPr>
      <w:r w:rsidRPr="00A21832">
        <w:rPr>
          <w:rFonts w:cs="Arial"/>
          <w:b/>
          <w:bCs/>
          <w:szCs w:val="24"/>
        </w:rPr>
        <w:t>SÉPTIMO.</w:t>
      </w:r>
      <w:r w:rsidR="008D4A32" w:rsidRPr="00A21832">
        <w:rPr>
          <w:rFonts w:cs="Arial"/>
          <w:b/>
          <w:bCs/>
          <w:szCs w:val="24"/>
        </w:rPr>
        <w:t xml:space="preserve"> </w:t>
      </w:r>
      <w:r w:rsidR="00A672A8" w:rsidRPr="00A21832">
        <w:rPr>
          <w:rFonts w:cs="Arial"/>
          <w:szCs w:val="24"/>
        </w:rPr>
        <w:t xml:space="preserve">Se vincula a la Secretaría Ejecutiva para el cumplimiento de los Lineamientos </w:t>
      </w:r>
      <w:r w:rsidR="002B5EBB" w:rsidRPr="00650E2B">
        <w:rPr>
          <w:rFonts w:cs="Arial"/>
          <w:szCs w:val="24"/>
        </w:rPr>
        <w:t xml:space="preserve">aprobados para la implementación de la </w:t>
      </w:r>
      <w:r w:rsidR="00A672A8" w:rsidRPr="00650E2B">
        <w:rPr>
          <w:rFonts w:cs="Arial"/>
          <w:szCs w:val="24"/>
        </w:rPr>
        <w:t xml:space="preserve">observación durante el proceso de </w:t>
      </w:r>
      <w:r w:rsidR="00A21832" w:rsidRPr="00650E2B">
        <w:rPr>
          <w:rFonts w:cs="Arial"/>
          <w:szCs w:val="24"/>
        </w:rPr>
        <w:t>R</w:t>
      </w:r>
      <w:r w:rsidR="00A672A8" w:rsidRPr="00650E2B">
        <w:rPr>
          <w:rFonts w:cs="Arial"/>
          <w:szCs w:val="24"/>
        </w:rPr>
        <w:t xml:space="preserve">evocación de </w:t>
      </w:r>
      <w:r w:rsidR="00A21832" w:rsidRPr="00650E2B">
        <w:rPr>
          <w:rFonts w:cs="Arial"/>
          <w:szCs w:val="24"/>
        </w:rPr>
        <w:t>M</w:t>
      </w:r>
      <w:r w:rsidR="00A672A8" w:rsidRPr="00650E2B">
        <w:rPr>
          <w:rFonts w:cs="Arial"/>
          <w:szCs w:val="24"/>
        </w:rPr>
        <w:t xml:space="preserve">andato de la persona titular de la </w:t>
      </w:r>
      <w:r w:rsidR="00912C0F" w:rsidRPr="00650E2B">
        <w:rPr>
          <w:rFonts w:cs="Arial"/>
          <w:szCs w:val="24"/>
        </w:rPr>
        <w:t>G</w:t>
      </w:r>
      <w:r w:rsidR="00A672A8" w:rsidRPr="00650E2B">
        <w:rPr>
          <w:rFonts w:cs="Arial"/>
          <w:szCs w:val="24"/>
        </w:rPr>
        <w:t xml:space="preserve">ubernatura del </w:t>
      </w:r>
      <w:r w:rsidR="004F0FF1" w:rsidRPr="00650E2B">
        <w:rPr>
          <w:rFonts w:cs="Arial"/>
          <w:szCs w:val="24"/>
        </w:rPr>
        <w:t>E</w:t>
      </w:r>
      <w:r w:rsidR="00A672A8" w:rsidRPr="00650E2B">
        <w:rPr>
          <w:rFonts w:cs="Arial"/>
          <w:szCs w:val="24"/>
        </w:rPr>
        <w:t>stado de Oaxaca para el periodo constitucional 2022-</w:t>
      </w:r>
      <w:r w:rsidR="007C5A9C" w:rsidRPr="00650E2B">
        <w:rPr>
          <w:rFonts w:cs="Arial"/>
          <w:szCs w:val="24"/>
        </w:rPr>
        <w:t>2028; así</w:t>
      </w:r>
      <w:r w:rsidR="00B44AA0" w:rsidRPr="00650E2B">
        <w:rPr>
          <w:rFonts w:cs="Arial"/>
          <w:szCs w:val="24"/>
        </w:rPr>
        <w:t xml:space="preserve"> como </w:t>
      </w:r>
      <w:r w:rsidR="002769C2" w:rsidRPr="00650E2B">
        <w:rPr>
          <w:rFonts w:cs="Arial"/>
          <w:szCs w:val="24"/>
        </w:rPr>
        <w:t xml:space="preserve">para </w:t>
      </w:r>
      <w:r w:rsidR="00A82528" w:rsidRPr="00650E2B">
        <w:rPr>
          <w:rFonts w:cs="Arial"/>
          <w:szCs w:val="24"/>
        </w:rPr>
        <w:t xml:space="preserve">informar al Consejo General respecto de </w:t>
      </w:r>
      <w:r w:rsidR="005D1FA7" w:rsidRPr="00650E2B">
        <w:rPr>
          <w:rFonts w:cs="Arial"/>
          <w:szCs w:val="24"/>
        </w:rPr>
        <w:t xml:space="preserve">los informes </w:t>
      </w:r>
      <w:r w:rsidR="00E16899" w:rsidRPr="00650E2B">
        <w:rPr>
          <w:rFonts w:cs="Arial"/>
          <w:szCs w:val="24"/>
        </w:rPr>
        <w:t>que presenten las personas observadoras respecto a sus actuaciones</w:t>
      </w:r>
      <w:r w:rsidR="00E16899" w:rsidRPr="00650E2B">
        <w:rPr>
          <w:rStyle w:val="Refdenotaalpie"/>
          <w:rFonts w:cs="Arial"/>
          <w:szCs w:val="24"/>
        </w:rPr>
        <w:footnoteReference w:id="24"/>
      </w:r>
      <w:r w:rsidR="00E16899" w:rsidRPr="00650E2B">
        <w:rPr>
          <w:rFonts w:cs="Arial"/>
          <w:szCs w:val="24"/>
        </w:rPr>
        <w:t xml:space="preserve"> </w:t>
      </w:r>
      <w:r w:rsidR="00071316" w:rsidRPr="00650E2B">
        <w:rPr>
          <w:rFonts w:cs="Arial"/>
          <w:szCs w:val="24"/>
        </w:rPr>
        <w:t xml:space="preserve">en los términos del apartado </w:t>
      </w:r>
      <w:r w:rsidR="0081054D">
        <w:rPr>
          <w:rFonts w:cs="Arial"/>
          <w:szCs w:val="24"/>
        </w:rPr>
        <w:t>noveno</w:t>
      </w:r>
      <w:r w:rsidR="00071316" w:rsidRPr="00650E2B">
        <w:rPr>
          <w:rFonts w:cs="Arial"/>
          <w:szCs w:val="24"/>
        </w:rPr>
        <w:t xml:space="preserve"> del</w:t>
      </w:r>
      <w:r w:rsidR="004F0FF1" w:rsidRPr="00650E2B">
        <w:rPr>
          <w:rFonts w:cs="Arial"/>
          <w:szCs w:val="24"/>
        </w:rPr>
        <w:t xml:space="preserve"> </w:t>
      </w:r>
      <w:r w:rsidR="00071316" w:rsidRPr="00650E2B">
        <w:rPr>
          <w:rFonts w:cs="Arial"/>
          <w:szCs w:val="24"/>
        </w:rPr>
        <w:t>presente instrumento</w:t>
      </w:r>
      <w:r w:rsidR="00A82528" w:rsidRPr="00650E2B">
        <w:rPr>
          <w:rFonts w:cs="Arial"/>
          <w:szCs w:val="24"/>
        </w:rPr>
        <w:t>.</w:t>
      </w:r>
      <w:r w:rsidR="00A82528" w:rsidRPr="00A21832">
        <w:rPr>
          <w:rFonts w:cs="Arial"/>
          <w:szCs w:val="24"/>
        </w:rPr>
        <w:t xml:space="preserve"> </w:t>
      </w:r>
    </w:p>
    <w:p w14:paraId="43B298BE" w14:textId="77777777" w:rsidR="00042D2F" w:rsidRPr="00A21832" w:rsidRDefault="00042D2F" w:rsidP="00AE4926">
      <w:pPr>
        <w:spacing w:line="276" w:lineRule="auto"/>
        <w:rPr>
          <w:rFonts w:cs="Arial"/>
          <w:szCs w:val="24"/>
        </w:rPr>
      </w:pPr>
    </w:p>
    <w:p w14:paraId="7E0D5B09" w14:textId="177B86DF" w:rsidR="00720789" w:rsidRDefault="00F430C3" w:rsidP="00F74C7F">
      <w:pPr>
        <w:spacing w:after="0" w:line="276" w:lineRule="auto"/>
        <w:rPr>
          <w:rFonts w:cs="Arial"/>
          <w:szCs w:val="24"/>
        </w:rPr>
      </w:pPr>
      <w:r w:rsidRPr="00A21832">
        <w:rPr>
          <w:rFonts w:cs="Arial"/>
          <w:b/>
          <w:bCs/>
          <w:szCs w:val="24"/>
        </w:rPr>
        <w:t>OCTAVO</w:t>
      </w:r>
      <w:r w:rsidR="00F859FB" w:rsidRPr="00A21832">
        <w:rPr>
          <w:rFonts w:cs="Arial"/>
          <w:szCs w:val="24"/>
        </w:rPr>
        <w:t xml:space="preserve">. Se instruye a la Secretaría Ejecutiva para que mediante oficio informe lo acordado </w:t>
      </w:r>
      <w:r w:rsidR="00B90FCA" w:rsidRPr="00A21832">
        <w:rPr>
          <w:rFonts w:cs="Arial"/>
          <w:szCs w:val="24"/>
        </w:rPr>
        <w:t xml:space="preserve">en el presente Acuerdo </w:t>
      </w:r>
      <w:r w:rsidR="00F859FB" w:rsidRPr="00A21832">
        <w:rPr>
          <w:rFonts w:cs="Arial"/>
          <w:szCs w:val="24"/>
        </w:rPr>
        <w:t>al Instituto Nacional Electoral a través de la Unidad Técnica de Vinculación con los Organismos Públicos Locales, para los fines legales a que tenga</w:t>
      </w:r>
      <w:r w:rsidR="00AA0905" w:rsidRPr="00A21832">
        <w:rPr>
          <w:rFonts w:cs="Arial"/>
          <w:szCs w:val="24"/>
        </w:rPr>
        <w:t>n</w:t>
      </w:r>
      <w:r w:rsidR="00F859FB" w:rsidRPr="00A21832">
        <w:rPr>
          <w:rFonts w:cs="Arial"/>
          <w:szCs w:val="24"/>
        </w:rPr>
        <w:t xml:space="preserve"> lugar. </w:t>
      </w:r>
    </w:p>
    <w:p w14:paraId="60284B9E" w14:textId="77777777" w:rsidR="00042D2F" w:rsidRPr="00A21832" w:rsidRDefault="00042D2F" w:rsidP="00F74C7F">
      <w:pPr>
        <w:spacing w:after="0" w:line="276" w:lineRule="auto"/>
        <w:rPr>
          <w:rFonts w:cs="Arial"/>
          <w:szCs w:val="24"/>
        </w:rPr>
      </w:pPr>
    </w:p>
    <w:p w14:paraId="4ABAF5C1" w14:textId="77777777" w:rsidR="00720789" w:rsidRPr="00A21832" w:rsidRDefault="00720789" w:rsidP="00F74C7F">
      <w:pPr>
        <w:spacing w:after="0" w:line="276" w:lineRule="auto"/>
        <w:rPr>
          <w:rFonts w:cs="Arial"/>
          <w:szCs w:val="24"/>
        </w:rPr>
      </w:pPr>
    </w:p>
    <w:p w14:paraId="2C97A12F" w14:textId="12070093" w:rsidR="00720789" w:rsidRPr="00F74C7F" w:rsidRDefault="00F430C3" w:rsidP="00F74C7F">
      <w:pPr>
        <w:spacing w:after="0" w:line="276" w:lineRule="auto"/>
        <w:rPr>
          <w:rFonts w:cs="Arial"/>
          <w:szCs w:val="24"/>
        </w:rPr>
      </w:pPr>
      <w:r w:rsidRPr="00A21832">
        <w:rPr>
          <w:rFonts w:cs="Arial"/>
          <w:b/>
          <w:bCs/>
          <w:szCs w:val="24"/>
        </w:rPr>
        <w:t>NOVENO.</w:t>
      </w:r>
      <w:r w:rsidR="00F859FB" w:rsidRPr="00A21832">
        <w:rPr>
          <w:rFonts w:cs="Arial"/>
          <w:szCs w:val="24"/>
        </w:rPr>
        <w:t xml:space="preserve"> De conformidad con lo establecido en el artículo </w:t>
      </w:r>
      <w:r w:rsidR="00F859FB" w:rsidRPr="00F74C7F">
        <w:rPr>
          <w:rFonts w:cs="Arial"/>
          <w:szCs w:val="24"/>
        </w:rPr>
        <w:t>27 del Reglamento de sesiones del Consejo General, publíquese el presente acuerdo en la página de internet</w:t>
      </w:r>
      <w:r w:rsidR="00F75C35">
        <w:rPr>
          <w:rFonts w:cs="Arial"/>
          <w:szCs w:val="24"/>
        </w:rPr>
        <w:t xml:space="preserve"> y</w:t>
      </w:r>
      <w:r w:rsidR="00F859FB" w:rsidRPr="00F74C7F">
        <w:rPr>
          <w:rFonts w:cs="Arial"/>
          <w:szCs w:val="24"/>
        </w:rPr>
        <w:t xml:space="preserve"> en la Gaceta Electoral de este Instituto</w:t>
      </w:r>
      <w:r w:rsidR="00F75C35">
        <w:rPr>
          <w:rFonts w:cs="Arial"/>
          <w:szCs w:val="24"/>
        </w:rPr>
        <w:t xml:space="preserve">. </w:t>
      </w:r>
    </w:p>
    <w:p w14:paraId="75D67197" w14:textId="77777777" w:rsidR="00720789" w:rsidRPr="00F74C7F" w:rsidRDefault="00720789" w:rsidP="00F74C7F">
      <w:pPr>
        <w:spacing w:after="0" w:line="276" w:lineRule="auto"/>
        <w:rPr>
          <w:rFonts w:cs="Arial"/>
          <w:szCs w:val="24"/>
        </w:rPr>
      </w:pPr>
    </w:p>
    <w:p w14:paraId="5E140C76" w14:textId="1FCE8FF0" w:rsidR="00F859FB" w:rsidRDefault="00F859FB" w:rsidP="00F74C7F">
      <w:pPr>
        <w:spacing w:after="0" w:line="276" w:lineRule="auto"/>
        <w:rPr>
          <w:rFonts w:cs="Arial"/>
          <w:szCs w:val="24"/>
        </w:rPr>
      </w:pPr>
      <w:r w:rsidRPr="00F74C7F">
        <w:rPr>
          <w:rFonts w:cs="Arial"/>
          <w:szCs w:val="24"/>
        </w:rPr>
        <w:lastRenderedPageBreak/>
        <w:t>Así lo aprobaron por</w:t>
      </w:r>
      <w:r w:rsidR="00AD5460">
        <w:rPr>
          <w:rFonts w:cs="Arial"/>
          <w:szCs w:val="24"/>
        </w:rPr>
        <w:t xml:space="preserve"> unanimidad </w:t>
      </w:r>
      <w:r w:rsidRPr="00F74C7F">
        <w:rPr>
          <w:rFonts w:cs="Arial"/>
          <w:szCs w:val="24"/>
        </w:rPr>
        <w:t xml:space="preserve">de votos, las Consejerías Electorales que integran el Consejo General del Instituto Estatal Electoral y de Participación Ciudadana de Oaxaca, siguientes: Alejandro Carrasco Sampedro, Jessica Jazibe Hernández García, Zaira Alhelí Hipólito López, Manuel Cortés Muriedas, Ana María Márquez Andrés, Gabriela Fernanda Espinoza Blancas y Elizabeth Sánchez González, Consejera Presidenta, en la sesión extraordinaria urgente celebrada en la Ciudad de Oaxaca de Juárez, Oaxaca, el día </w:t>
      </w:r>
      <w:r w:rsidR="00F001E7">
        <w:rPr>
          <w:rFonts w:cs="Arial"/>
          <w:szCs w:val="24"/>
        </w:rPr>
        <w:t>22</w:t>
      </w:r>
      <w:r w:rsidRPr="00F74C7F">
        <w:rPr>
          <w:rFonts w:cs="Arial"/>
          <w:szCs w:val="24"/>
        </w:rPr>
        <w:t xml:space="preserve"> de </w:t>
      </w:r>
      <w:r w:rsidR="00ED10CE">
        <w:rPr>
          <w:rFonts w:cs="Arial"/>
          <w:szCs w:val="24"/>
        </w:rPr>
        <w:t xml:space="preserve">diciembre de </w:t>
      </w:r>
      <w:r w:rsidRPr="00F74C7F">
        <w:rPr>
          <w:rFonts w:cs="Arial"/>
          <w:szCs w:val="24"/>
        </w:rPr>
        <w:t xml:space="preserve">dos mil </w:t>
      </w:r>
      <w:r w:rsidR="007E6F71" w:rsidRPr="00F74C7F">
        <w:rPr>
          <w:rFonts w:cs="Arial"/>
          <w:szCs w:val="24"/>
        </w:rPr>
        <w:t>veint</w:t>
      </w:r>
      <w:r w:rsidR="00ED10CE">
        <w:rPr>
          <w:rFonts w:cs="Arial"/>
          <w:szCs w:val="24"/>
        </w:rPr>
        <w:t>icinco</w:t>
      </w:r>
      <w:r w:rsidRPr="00F74C7F">
        <w:rPr>
          <w:rFonts w:cs="Arial"/>
          <w:szCs w:val="24"/>
        </w:rPr>
        <w:t xml:space="preserve">, ante </w:t>
      </w:r>
      <w:r w:rsidR="00CA3209" w:rsidRPr="00F74C7F">
        <w:rPr>
          <w:rFonts w:cs="Arial"/>
          <w:szCs w:val="24"/>
        </w:rPr>
        <w:t>el Secretario Ejecutivo</w:t>
      </w:r>
      <w:r w:rsidRPr="00F74C7F">
        <w:rPr>
          <w:rFonts w:cs="Arial"/>
          <w:szCs w:val="24"/>
        </w:rPr>
        <w:t>, quien da fe.</w:t>
      </w:r>
    </w:p>
    <w:p w14:paraId="33E85FC2" w14:textId="77777777" w:rsidR="00042D2F" w:rsidRDefault="00042D2F" w:rsidP="00F74C7F">
      <w:pPr>
        <w:spacing w:after="0" w:line="276" w:lineRule="auto"/>
        <w:rPr>
          <w:rFonts w:cs="Arial"/>
          <w:szCs w:val="24"/>
        </w:rPr>
      </w:pPr>
    </w:p>
    <w:p w14:paraId="609B62FF" w14:textId="77777777" w:rsidR="00042D2F" w:rsidRPr="00F74C7F" w:rsidRDefault="00042D2F" w:rsidP="00F74C7F">
      <w:pPr>
        <w:spacing w:after="0" w:line="276" w:lineRule="auto"/>
        <w:rPr>
          <w:rFonts w:cs="Arial"/>
          <w:szCs w:val="24"/>
        </w:rPr>
      </w:pPr>
    </w:p>
    <w:p w14:paraId="6947E3F7" w14:textId="77777777" w:rsidR="002F4836" w:rsidRPr="00F74C7F" w:rsidRDefault="002F4836" w:rsidP="00F74C7F">
      <w:pPr>
        <w:spacing w:after="0" w:line="276" w:lineRule="auto"/>
        <w:jc w:val="center"/>
        <w:rPr>
          <w:rFonts w:cs="Arial"/>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2F4836" w:rsidRPr="00F74C7F" w14:paraId="7EE6392A" w14:textId="77777777" w:rsidTr="00C02185">
        <w:tc>
          <w:tcPr>
            <w:tcW w:w="4414" w:type="dxa"/>
          </w:tcPr>
          <w:p w14:paraId="23082261" w14:textId="0FA902E2" w:rsidR="002F4836" w:rsidRPr="00F74C7F" w:rsidRDefault="002F4836" w:rsidP="00AE4926">
            <w:pPr>
              <w:spacing w:line="276" w:lineRule="auto"/>
              <w:jc w:val="center"/>
              <w:rPr>
                <w:rFonts w:cs="Arial"/>
                <w:b/>
                <w:bCs/>
                <w:szCs w:val="24"/>
              </w:rPr>
            </w:pPr>
            <w:r w:rsidRPr="00F74C7F">
              <w:rPr>
                <w:rFonts w:cs="Arial"/>
                <w:b/>
                <w:bCs/>
                <w:szCs w:val="24"/>
              </w:rPr>
              <w:t>CONSEJERA PRESIDENTA</w:t>
            </w:r>
          </w:p>
          <w:p w14:paraId="61B0A249" w14:textId="77777777" w:rsidR="002F4836" w:rsidRDefault="002F4836" w:rsidP="00F74C7F">
            <w:pPr>
              <w:spacing w:line="276" w:lineRule="auto"/>
              <w:jc w:val="center"/>
              <w:rPr>
                <w:rFonts w:cs="Arial"/>
                <w:b/>
                <w:bCs/>
                <w:szCs w:val="24"/>
              </w:rPr>
            </w:pPr>
          </w:p>
          <w:p w14:paraId="1AB11DF1" w14:textId="77777777" w:rsidR="00042D2F" w:rsidRDefault="00042D2F" w:rsidP="00F74C7F">
            <w:pPr>
              <w:spacing w:line="276" w:lineRule="auto"/>
              <w:jc w:val="center"/>
              <w:rPr>
                <w:rFonts w:cs="Arial"/>
                <w:b/>
                <w:bCs/>
                <w:szCs w:val="24"/>
              </w:rPr>
            </w:pPr>
          </w:p>
          <w:p w14:paraId="183C8E34" w14:textId="77777777" w:rsidR="00042D2F" w:rsidRPr="00F74C7F" w:rsidRDefault="00042D2F" w:rsidP="00F74C7F">
            <w:pPr>
              <w:spacing w:line="276" w:lineRule="auto"/>
              <w:jc w:val="center"/>
              <w:rPr>
                <w:rFonts w:cs="Arial"/>
                <w:b/>
                <w:bCs/>
                <w:szCs w:val="24"/>
              </w:rPr>
            </w:pPr>
          </w:p>
          <w:p w14:paraId="01A298F3" w14:textId="0A1BA5B4" w:rsidR="002F4836" w:rsidRPr="00F74C7F" w:rsidRDefault="002F4836" w:rsidP="00F74C7F">
            <w:pPr>
              <w:spacing w:line="276" w:lineRule="auto"/>
              <w:jc w:val="center"/>
              <w:rPr>
                <w:rFonts w:cs="Arial"/>
                <w:b/>
                <w:bCs/>
                <w:szCs w:val="24"/>
              </w:rPr>
            </w:pPr>
            <w:r w:rsidRPr="00F74C7F">
              <w:rPr>
                <w:rFonts w:cs="Arial"/>
                <w:b/>
                <w:bCs/>
                <w:szCs w:val="24"/>
              </w:rPr>
              <w:t>ELIZABETH SÁNCHEZ GONZÁLEZ</w:t>
            </w:r>
          </w:p>
        </w:tc>
        <w:tc>
          <w:tcPr>
            <w:tcW w:w="4414" w:type="dxa"/>
          </w:tcPr>
          <w:p w14:paraId="48DD1061" w14:textId="622C2157" w:rsidR="002F4836" w:rsidRPr="00F74C7F" w:rsidRDefault="002F4836" w:rsidP="00AE4926">
            <w:pPr>
              <w:spacing w:line="276" w:lineRule="auto"/>
              <w:jc w:val="center"/>
              <w:rPr>
                <w:rFonts w:cs="Arial"/>
                <w:b/>
                <w:bCs/>
                <w:szCs w:val="24"/>
              </w:rPr>
            </w:pPr>
            <w:r w:rsidRPr="00F74C7F">
              <w:rPr>
                <w:rFonts w:cs="Arial"/>
                <w:b/>
                <w:bCs/>
                <w:szCs w:val="24"/>
              </w:rPr>
              <w:t xml:space="preserve">SECRETARIO EJECUTIVO </w:t>
            </w:r>
          </w:p>
          <w:p w14:paraId="623E1398" w14:textId="77777777" w:rsidR="002F4836" w:rsidRDefault="002F4836" w:rsidP="00F74C7F">
            <w:pPr>
              <w:spacing w:line="276" w:lineRule="auto"/>
              <w:jc w:val="center"/>
              <w:rPr>
                <w:rFonts w:cs="Arial"/>
                <w:b/>
                <w:bCs/>
                <w:szCs w:val="24"/>
              </w:rPr>
            </w:pPr>
          </w:p>
          <w:p w14:paraId="2EDDDB11" w14:textId="77777777" w:rsidR="00042D2F" w:rsidRDefault="00042D2F" w:rsidP="00F74C7F">
            <w:pPr>
              <w:spacing w:line="276" w:lineRule="auto"/>
              <w:jc w:val="center"/>
              <w:rPr>
                <w:rFonts w:cs="Arial"/>
                <w:b/>
                <w:bCs/>
                <w:szCs w:val="24"/>
              </w:rPr>
            </w:pPr>
          </w:p>
          <w:p w14:paraId="31BB2DE1" w14:textId="77777777" w:rsidR="00042D2F" w:rsidRPr="00F74C7F" w:rsidRDefault="00042D2F" w:rsidP="00F74C7F">
            <w:pPr>
              <w:spacing w:line="276" w:lineRule="auto"/>
              <w:jc w:val="center"/>
              <w:rPr>
                <w:rFonts w:cs="Arial"/>
                <w:b/>
                <w:bCs/>
                <w:szCs w:val="24"/>
              </w:rPr>
            </w:pPr>
          </w:p>
          <w:p w14:paraId="55D24677" w14:textId="63CA4821" w:rsidR="002F4836" w:rsidRPr="00F74C7F" w:rsidRDefault="002F4836" w:rsidP="00F74C7F">
            <w:pPr>
              <w:spacing w:line="276" w:lineRule="auto"/>
              <w:jc w:val="center"/>
              <w:rPr>
                <w:rFonts w:cs="Arial"/>
                <w:b/>
                <w:bCs/>
                <w:szCs w:val="24"/>
              </w:rPr>
            </w:pPr>
            <w:r w:rsidRPr="00F74C7F">
              <w:rPr>
                <w:rFonts w:cs="Arial"/>
                <w:b/>
                <w:bCs/>
                <w:szCs w:val="24"/>
              </w:rPr>
              <w:t>GRACIANO ALEJANDRO PRATS ROJAS</w:t>
            </w:r>
          </w:p>
        </w:tc>
      </w:tr>
    </w:tbl>
    <w:p w14:paraId="5ADBE239" w14:textId="3DC93C61" w:rsidR="00087324" w:rsidRPr="00087324" w:rsidRDefault="00087324" w:rsidP="00087324">
      <w:pPr>
        <w:spacing w:after="0" w:line="276" w:lineRule="auto"/>
        <w:rPr>
          <w:b/>
          <w:bCs/>
        </w:rPr>
      </w:pPr>
      <w:r>
        <w:rPr>
          <w:b/>
          <w:bCs/>
        </w:rPr>
        <w:t xml:space="preserve"> </w:t>
      </w:r>
    </w:p>
    <w:sectPr w:rsidR="00087324" w:rsidRPr="00087324" w:rsidSect="00F24A84">
      <w:footerReference w:type="default" r:id="rId10"/>
      <w:pgSz w:w="12240" w:h="15840"/>
      <w:pgMar w:top="1134" w:right="170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F4642" w14:textId="77777777" w:rsidR="00380EFF" w:rsidRDefault="00380EFF" w:rsidP="006F5333">
      <w:pPr>
        <w:spacing w:after="0" w:line="240" w:lineRule="auto"/>
      </w:pPr>
      <w:r>
        <w:separator/>
      </w:r>
    </w:p>
  </w:endnote>
  <w:endnote w:type="continuationSeparator" w:id="0">
    <w:p w14:paraId="51C90910" w14:textId="77777777" w:rsidR="00380EFF" w:rsidRDefault="00380EFF" w:rsidP="006F5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617990"/>
      <w:docPartObj>
        <w:docPartGallery w:val="Page Numbers (Bottom of Page)"/>
        <w:docPartUnique/>
      </w:docPartObj>
    </w:sdtPr>
    <w:sdtContent>
      <w:sdt>
        <w:sdtPr>
          <w:id w:val="1728636285"/>
          <w:docPartObj>
            <w:docPartGallery w:val="Page Numbers (Top of Page)"/>
            <w:docPartUnique/>
          </w:docPartObj>
        </w:sdtPr>
        <w:sdtContent>
          <w:p w14:paraId="7D8B99C2" w14:textId="7F166DB3" w:rsidR="006F5333" w:rsidRDefault="006F5333">
            <w:pPr>
              <w:pStyle w:val="Piedepgina"/>
              <w:jc w:val="center"/>
            </w:pPr>
            <w:r>
              <w:rPr>
                <w:lang w:val="es-ES"/>
              </w:rPr>
              <w:t xml:space="preserve">Página </w:t>
            </w:r>
            <w:r>
              <w:rPr>
                <w:b/>
                <w:bCs/>
                <w:szCs w:val="24"/>
              </w:rPr>
              <w:fldChar w:fldCharType="begin"/>
            </w:r>
            <w:r>
              <w:rPr>
                <w:b/>
                <w:bCs/>
              </w:rPr>
              <w:instrText>PAGE</w:instrText>
            </w:r>
            <w:r>
              <w:rPr>
                <w:b/>
                <w:bCs/>
                <w:szCs w:val="24"/>
              </w:rPr>
              <w:fldChar w:fldCharType="separate"/>
            </w:r>
            <w:r>
              <w:rPr>
                <w:b/>
                <w:bCs/>
                <w:lang w:val="es-ES"/>
              </w:rPr>
              <w:t>2</w:t>
            </w:r>
            <w:r>
              <w:rPr>
                <w:b/>
                <w:bCs/>
                <w:szCs w:val="24"/>
              </w:rPr>
              <w:fldChar w:fldCharType="end"/>
            </w:r>
            <w:r>
              <w:rPr>
                <w:lang w:val="es-ES"/>
              </w:rPr>
              <w:t xml:space="preserve"> de </w:t>
            </w:r>
            <w:r>
              <w:rPr>
                <w:b/>
                <w:bCs/>
                <w:szCs w:val="24"/>
              </w:rPr>
              <w:fldChar w:fldCharType="begin"/>
            </w:r>
            <w:r>
              <w:rPr>
                <w:b/>
                <w:bCs/>
              </w:rPr>
              <w:instrText>NUMPAGES</w:instrText>
            </w:r>
            <w:r>
              <w:rPr>
                <w:b/>
                <w:bCs/>
                <w:szCs w:val="24"/>
              </w:rPr>
              <w:fldChar w:fldCharType="separate"/>
            </w:r>
            <w:r>
              <w:rPr>
                <w:b/>
                <w:bCs/>
                <w:lang w:val="es-ES"/>
              </w:rPr>
              <w:t>2</w:t>
            </w:r>
            <w:r>
              <w:rPr>
                <w:b/>
                <w:bCs/>
                <w:szCs w:val="24"/>
              </w:rPr>
              <w:fldChar w:fldCharType="end"/>
            </w:r>
          </w:p>
        </w:sdtContent>
      </w:sdt>
    </w:sdtContent>
  </w:sdt>
  <w:p w14:paraId="79246444" w14:textId="77777777" w:rsidR="006F5333" w:rsidRDefault="006F53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791F2" w14:textId="77777777" w:rsidR="00380EFF" w:rsidRDefault="00380EFF" w:rsidP="006F5333">
      <w:pPr>
        <w:spacing w:after="0" w:line="240" w:lineRule="auto"/>
      </w:pPr>
      <w:r>
        <w:separator/>
      </w:r>
    </w:p>
  </w:footnote>
  <w:footnote w:type="continuationSeparator" w:id="0">
    <w:p w14:paraId="57A0FCD0" w14:textId="77777777" w:rsidR="00380EFF" w:rsidRDefault="00380EFF" w:rsidP="006F5333">
      <w:pPr>
        <w:spacing w:after="0" w:line="240" w:lineRule="auto"/>
      </w:pPr>
      <w:r>
        <w:continuationSeparator/>
      </w:r>
    </w:p>
  </w:footnote>
  <w:footnote w:id="1">
    <w:p w14:paraId="6AA75DCD" w14:textId="12BA6A49" w:rsidR="005B1818" w:rsidRPr="000D7AEF" w:rsidRDefault="005B1818" w:rsidP="007049E0">
      <w:pPr>
        <w:pStyle w:val="Textonotapie"/>
        <w:jc w:val="left"/>
        <w:rPr>
          <w:sz w:val="14"/>
          <w:szCs w:val="14"/>
        </w:rPr>
      </w:pPr>
      <w:r w:rsidRPr="000D7AEF">
        <w:rPr>
          <w:rStyle w:val="Refdenotaalpie"/>
          <w:sz w:val="14"/>
          <w:szCs w:val="14"/>
        </w:rPr>
        <w:footnoteRef/>
      </w:r>
      <w:r w:rsidR="000D7AEF" w:rsidRPr="000D7AEF">
        <w:rPr>
          <w:sz w:val="14"/>
          <w:szCs w:val="14"/>
        </w:rPr>
        <w:t xml:space="preserve"> </w:t>
      </w:r>
      <w:r w:rsidRPr="000D7AEF">
        <w:rPr>
          <w:sz w:val="14"/>
          <w:szCs w:val="14"/>
        </w:rPr>
        <w:t>Disponible para su consulta en</w:t>
      </w:r>
      <w:r w:rsidR="004E165E">
        <w:rPr>
          <w:sz w:val="14"/>
          <w:szCs w:val="14"/>
        </w:rPr>
        <w:t xml:space="preserve"> el siguiente enlace</w:t>
      </w:r>
      <w:r w:rsidRPr="000D7AEF">
        <w:rPr>
          <w:sz w:val="14"/>
          <w:szCs w:val="14"/>
        </w:rPr>
        <w:t xml:space="preserve">: </w:t>
      </w:r>
      <w:hyperlink r:id="rId1" w:history="1">
        <w:r w:rsidRPr="000D7AEF">
          <w:rPr>
            <w:rStyle w:val="Hipervnculo"/>
            <w:sz w:val="14"/>
            <w:szCs w:val="14"/>
          </w:rPr>
          <w:t>https://www.diputados.gob.mx/LeyesBiblio/pdf/CPEUM.pdf</w:t>
        </w:r>
      </w:hyperlink>
      <w:r w:rsidRPr="000D7AEF">
        <w:rPr>
          <w:sz w:val="14"/>
          <w:szCs w:val="14"/>
        </w:rPr>
        <w:t xml:space="preserve"> </w:t>
      </w:r>
    </w:p>
  </w:footnote>
  <w:footnote w:id="2">
    <w:p w14:paraId="4F6EB53C" w14:textId="268D422C" w:rsidR="005B1818" w:rsidRPr="000D7AEF" w:rsidRDefault="005B1818" w:rsidP="007049E0">
      <w:pPr>
        <w:pStyle w:val="Textonotapie"/>
        <w:jc w:val="left"/>
        <w:rPr>
          <w:sz w:val="14"/>
          <w:szCs w:val="14"/>
        </w:rPr>
      </w:pPr>
      <w:r w:rsidRPr="000D7AEF">
        <w:rPr>
          <w:rStyle w:val="Refdenotaalpie"/>
          <w:sz w:val="14"/>
          <w:szCs w:val="14"/>
        </w:rPr>
        <w:footnoteRef/>
      </w:r>
      <w:r w:rsidRPr="000D7AEF">
        <w:rPr>
          <w:sz w:val="14"/>
          <w:szCs w:val="14"/>
        </w:rPr>
        <w:t xml:space="preserve"> Disponible para su consulta en</w:t>
      </w:r>
      <w:r w:rsidR="004E165E">
        <w:rPr>
          <w:sz w:val="14"/>
          <w:szCs w:val="14"/>
        </w:rPr>
        <w:t xml:space="preserve"> el siguiente enlace</w:t>
      </w:r>
      <w:r w:rsidRPr="000D7AEF">
        <w:rPr>
          <w:sz w:val="14"/>
          <w:szCs w:val="14"/>
        </w:rPr>
        <w:t xml:space="preserve">: </w:t>
      </w:r>
      <w:hyperlink r:id="rId2" w:history="1">
        <w:r w:rsidRPr="000D7AEF">
          <w:rPr>
            <w:rStyle w:val="Hipervnculo"/>
            <w:sz w:val="14"/>
            <w:szCs w:val="14"/>
          </w:rPr>
          <w:t>https://www.congresooaxaca.gob.mx/docs66.congresooaxaca.gob.mx/legislacion_estatal/Constitucion_Politica_del_Estado_Libre_y_Soberano_de_Oaxaca_(Ref_dto_753_aprob_LXVI_Legis_9_septiembre_2025_PO_Extra_10_septiembre_2025).pdf</w:t>
        </w:r>
      </w:hyperlink>
      <w:r w:rsidRPr="000D7AEF">
        <w:rPr>
          <w:sz w:val="14"/>
          <w:szCs w:val="14"/>
        </w:rPr>
        <w:t xml:space="preserve"> </w:t>
      </w:r>
    </w:p>
  </w:footnote>
  <w:footnote w:id="3">
    <w:p w14:paraId="227FD317" w14:textId="62E614A4" w:rsidR="00FC06DC" w:rsidRPr="000D7AEF" w:rsidRDefault="00FC06DC">
      <w:pPr>
        <w:pStyle w:val="Textonotapie"/>
        <w:rPr>
          <w:sz w:val="14"/>
          <w:szCs w:val="14"/>
        </w:rPr>
      </w:pPr>
      <w:r w:rsidRPr="000D7AEF">
        <w:rPr>
          <w:rStyle w:val="Refdenotaalpie"/>
          <w:sz w:val="14"/>
          <w:szCs w:val="14"/>
        </w:rPr>
        <w:footnoteRef/>
      </w:r>
      <w:r w:rsidRPr="000D7AEF">
        <w:rPr>
          <w:sz w:val="14"/>
          <w:szCs w:val="14"/>
        </w:rPr>
        <w:t xml:space="preserve"> </w:t>
      </w:r>
      <w:r w:rsidRPr="000D7AEF">
        <w:rPr>
          <w:b/>
          <w:bCs/>
          <w:sz w:val="14"/>
          <w:szCs w:val="14"/>
        </w:rPr>
        <w:t>Nota:</w:t>
      </w:r>
      <w:r w:rsidRPr="000D7AEF">
        <w:rPr>
          <w:sz w:val="14"/>
          <w:szCs w:val="14"/>
        </w:rPr>
        <w:t xml:space="preserve"> </w:t>
      </w:r>
      <w:r w:rsidR="00C94C35" w:rsidRPr="000D7AEF">
        <w:rPr>
          <w:sz w:val="14"/>
          <w:szCs w:val="14"/>
        </w:rPr>
        <w:t>Definición institucional adoptada por el Instituto Estatal Electoral y de Participación Ciudadana de Oaxaca. Esta conceptualización retoma los enfoques de derechos lingüísticos establecidos en el artículo 2º de la Constitución Federal, el Convenio 169 de la OIT (1989) y los aportes de Yásnaya Aguilar Gil (2019) sobre lengua y dignidad cultural.</w:t>
      </w:r>
    </w:p>
  </w:footnote>
  <w:footnote w:id="4">
    <w:p w14:paraId="6367EA9C" w14:textId="78EE3AF4" w:rsidR="003D49EF" w:rsidRPr="000D7AEF" w:rsidRDefault="003D49EF">
      <w:pPr>
        <w:pStyle w:val="Textonotapie"/>
        <w:rPr>
          <w:b/>
          <w:bCs/>
          <w:sz w:val="14"/>
          <w:szCs w:val="14"/>
        </w:rPr>
      </w:pPr>
      <w:r w:rsidRPr="000D7AEF">
        <w:rPr>
          <w:rStyle w:val="Refdenotaalpie"/>
          <w:sz w:val="14"/>
          <w:szCs w:val="14"/>
        </w:rPr>
        <w:footnoteRef/>
      </w:r>
      <w:r w:rsidRPr="000D7AEF">
        <w:rPr>
          <w:sz w:val="14"/>
          <w:szCs w:val="14"/>
        </w:rPr>
        <w:t xml:space="preserve"> </w:t>
      </w:r>
      <w:r w:rsidRPr="000D7AEF">
        <w:rPr>
          <w:b/>
          <w:bCs/>
          <w:sz w:val="14"/>
          <w:szCs w:val="14"/>
        </w:rPr>
        <w:t xml:space="preserve">Nota: </w:t>
      </w:r>
      <w:r w:rsidR="007D035F" w:rsidRPr="000D7AEF">
        <w:rPr>
          <w:sz w:val="14"/>
          <w:szCs w:val="14"/>
        </w:rPr>
        <w:t xml:space="preserve">Definición institucional adoptada por el Instituto Estatal Electoral y de Participación Ciudadana de Oaxaca. Retoma el marco conceptual del </w:t>
      </w:r>
      <w:r w:rsidR="00DE2FF4" w:rsidRPr="00DE2FF4">
        <w:rPr>
          <w:rStyle w:val="Textoennegrita"/>
          <w:sz w:val="14"/>
          <w:szCs w:val="14"/>
        </w:rPr>
        <w:t>Protocolo para adoptar las medidas tendientes a garantizar a las personas trans el ejercicio del voto en igualdad de condiciones y sin discriminación en todos los tipos de elección y mecanismos de participación ciudadana del INE</w:t>
      </w:r>
      <w:r w:rsidR="00DE2FF4">
        <w:rPr>
          <w:rStyle w:val="Textoennegrita"/>
          <w:sz w:val="14"/>
          <w:szCs w:val="14"/>
        </w:rPr>
        <w:t xml:space="preserve"> (2018), </w:t>
      </w:r>
      <w:r w:rsidR="007D035F" w:rsidRPr="000D7AEF">
        <w:rPr>
          <w:sz w:val="14"/>
          <w:szCs w:val="14"/>
        </w:rPr>
        <w:t xml:space="preserve">así como los </w:t>
      </w:r>
      <w:r w:rsidR="007D035F" w:rsidRPr="000D7AEF">
        <w:rPr>
          <w:rStyle w:val="Textoennegrita"/>
          <w:sz w:val="14"/>
          <w:szCs w:val="14"/>
        </w:rPr>
        <w:t>Principios de Yogyakarta (2007)</w:t>
      </w:r>
      <w:r w:rsidR="007D035F" w:rsidRPr="000D7AEF">
        <w:rPr>
          <w:sz w:val="14"/>
          <w:szCs w:val="14"/>
        </w:rPr>
        <w:t xml:space="preserve"> y el artículo 1° constitucional en materia de identidad y libre desarrollo de la personalidad.</w:t>
      </w:r>
      <w:r w:rsidR="002B58A0">
        <w:rPr>
          <w:sz w:val="14"/>
          <w:szCs w:val="14"/>
        </w:rPr>
        <w:t xml:space="preserve"> Disponible para su consulta en el siguiente enlace: </w:t>
      </w:r>
      <w:hyperlink r:id="rId3" w:history="1">
        <w:r w:rsidR="002B58A0" w:rsidRPr="00575E79">
          <w:rPr>
            <w:rStyle w:val="Hipervnculo"/>
            <w:sz w:val="14"/>
            <w:szCs w:val="14"/>
          </w:rPr>
          <w:t>https://www.ine.mx/wp-content/uploads/2018/06/DECEyEC-Protocolo-Trans.pdf</w:t>
        </w:r>
      </w:hyperlink>
      <w:r w:rsidR="002B58A0">
        <w:rPr>
          <w:sz w:val="14"/>
          <w:szCs w:val="14"/>
        </w:rPr>
        <w:t xml:space="preserve"> </w:t>
      </w:r>
    </w:p>
  </w:footnote>
  <w:footnote w:id="5">
    <w:p w14:paraId="2FD3D42B" w14:textId="2AB0E621" w:rsidR="00345F95" w:rsidRPr="00465B37" w:rsidRDefault="00345F95" w:rsidP="00C60B89">
      <w:pPr>
        <w:pStyle w:val="Textonotapie"/>
        <w:rPr>
          <w:rFonts w:cs="Arial"/>
          <w:sz w:val="14"/>
          <w:szCs w:val="14"/>
        </w:rPr>
      </w:pPr>
      <w:r w:rsidRPr="00D57E7C">
        <w:rPr>
          <w:rStyle w:val="Refdenotaalpie"/>
          <w:rFonts w:cs="Arial"/>
          <w:sz w:val="14"/>
          <w:szCs w:val="14"/>
        </w:rPr>
        <w:footnoteRef/>
      </w:r>
      <w:r w:rsidRPr="00D57E7C">
        <w:rPr>
          <w:rFonts w:cs="Arial"/>
          <w:sz w:val="14"/>
          <w:szCs w:val="14"/>
        </w:rPr>
        <w:t xml:space="preserve"> </w:t>
      </w:r>
      <w:r w:rsidRPr="00473A04">
        <w:rPr>
          <w:rFonts w:cs="Arial"/>
          <w:b/>
          <w:bCs/>
          <w:sz w:val="14"/>
          <w:szCs w:val="14"/>
        </w:rPr>
        <w:t>Nota:</w:t>
      </w:r>
      <w:r w:rsidRPr="00D57E7C">
        <w:rPr>
          <w:rFonts w:cs="Arial"/>
          <w:sz w:val="14"/>
          <w:szCs w:val="14"/>
        </w:rPr>
        <w:t xml:space="preserve"> Definición institucional adoptada por el Instituto Estatal Electoral y de Participación Ciudadana de Oaxaca para efectos operativos y conceptuales del presente instrumento. Esta definición retoma los principios de interculturalidad crítica desarrollados por Catherine Walsh. Walsh, Catherine (2009). </w:t>
      </w:r>
      <w:r w:rsidRPr="00D57E7C">
        <w:rPr>
          <w:rStyle w:val="nfasis"/>
          <w:rFonts w:cs="Arial"/>
          <w:sz w:val="14"/>
          <w:szCs w:val="14"/>
        </w:rPr>
        <w:t>Interculturalidad, Estado y Sociedad. Luchas (de)coloniales de nuestra época.</w:t>
      </w:r>
      <w:r w:rsidRPr="00D57E7C">
        <w:rPr>
          <w:rFonts w:cs="Arial"/>
          <w:sz w:val="14"/>
          <w:szCs w:val="14"/>
        </w:rPr>
        <w:t xml:space="preserve"> Quito: Universidad Andina Simón Bolívar / Abya-Yala.</w:t>
      </w:r>
    </w:p>
  </w:footnote>
  <w:footnote w:id="6">
    <w:p w14:paraId="2FDF7241" w14:textId="1BAEC87D" w:rsidR="00345F95" w:rsidRPr="00022741" w:rsidRDefault="00345F95" w:rsidP="001E4842">
      <w:pPr>
        <w:pStyle w:val="Textonotapie"/>
        <w:jc w:val="left"/>
        <w:rPr>
          <w:sz w:val="14"/>
          <w:szCs w:val="14"/>
        </w:rPr>
      </w:pPr>
      <w:r w:rsidRPr="001E4842">
        <w:rPr>
          <w:rStyle w:val="Refdenotaalpie"/>
          <w:rFonts w:cs="Arial"/>
          <w:sz w:val="14"/>
          <w:szCs w:val="14"/>
        </w:rPr>
        <w:footnoteRef/>
      </w:r>
      <w:r w:rsidRPr="001E4842">
        <w:rPr>
          <w:rFonts w:cs="Arial"/>
          <w:sz w:val="14"/>
          <w:szCs w:val="14"/>
        </w:rPr>
        <w:t xml:space="preserve"> Disponible para su consulta en</w:t>
      </w:r>
      <w:r w:rsidRPr="004E165E">
        <w:rPr>
          <w:sz w:val="14"/>
          <w:szCs w:val="14"/>
        </w:rPr>
        <w:t xml:space="preserve"> </w:t>
      </w:r>
      <w:r>
        <w:rPr>
          <w:sz w:val="14"/>
          <w:szCs w:val="14"/>
        </w:rPr>
        <w:t>el siguiente enlace</w:t>
      </w:r>
      <w:r w:rsidRPr="001E4842">
        <w:rPr>
          <w:rFonts w:cs="Arial"/>
          <w:sz w:val="14"/>
          <w:szCs w:val="14"/>
        </w:rPr>
        <w:t xml:space="preserve">: </w:t>
      </w:r>
      <w:hyperlink r:id="rId4" w:history="1">
        <w:r w:rsidRPr="00022741">
          <w:rPr>
            <w:rStyle w:val="Hipervnculo"/>
            <w:rFonts w:cs="Arial"/>
            <w:sz w:val="14"/>
            <w:szCs w:val="14"/>
          </w:rPr>
          <w:t>https://www.congresooaxaca.gob.mx/docs66.congresooaxaca.gob.mx/legislacion_estatal/LEY_DE_LOS_DERECHOS_DE_LAS_PERSONAS_CON_DISCAPACIDAD_EN_EL_ESTADO_DE_OAXACA_(Dto_ref_1695_aprob_LXV_Legis_31_enero_2024_PO_8_11a_secc_24_febrero_2024).pdf</w:t>
        </w:r>
      </w:hyperlink>
      <w:r w:rsidRPr="00022741">
        <w:rPr>
          <w:sz w:val="14"/>
          <w:szCs w:val="14"/>
        </w:rPr>
        <w:t xml:space="preserve"> </w:t>
      </w:r>
    </w:p>
  </w:footnote>
  <w:footnote w:id="7">
    <w:p w14:paraId="7501581B" w14:textId="658101CC" w:rsidR="00345F95" w:rsidRPr="00022741" w:rsidRDefault="00345F95" w:rsidP="00A21E4E">
      <w:pPr>
        <w:pStyle w:val="Textonotapie"/>
        <w:rPr>
          <w:rFonts w:cs="Arial"/>
          <w:sz w:val="14"/>
          <w:szCs w:val="14"/>
        </w:rPr>
      </w:pPr>
      <w:r w:rsidRPr="00022741">
        <w:rPr>
          <w:rStyle w:val="Refdenotaalpie"/>
          <w:rFonts w:cs="Arial"/>
          <w:sz w:val="14"/>
          <w:szCs w:val="14"/>
        </w:rPr>
        <w:footnoteRef/>
      </w:r>
      <w:r w:rsidRPr="00022741">
        <w:rPr>
          <w:rFonts w:cs="Arial"/>
          <w:sz w:val="14"/>
          <w:szCs w:val="14"/>
        </w:rPr>
        <w:t xml:space="preserve"> Disponible para su consulta en</w:t>
      </w:r>
      <w:r w:rsidRPr="00022741">
        <w:rPr>
          <w:sz w:val="14"/>
          <w:szCs w:val="14"/>
        </w:rPr>
        <w:t xml:space="preserve"> el siguiente enlace</w:t>
      </w:r>
      <w:r w:rsidRPr="00022741">
        <w:rPr>
          <w:rFonts w:cs="Arial"/>
          <w:sz w:val="14"/>
          <w:szCs w:val="14"/>
        </w:rPr>
        <w:t xml:space="preserve">: </w:t>
      </w:r>
      <w:hyperlink r:id="rId5" w:history="1">
        <w:r w:rsidRPr="00022741">
          <w:rPr>
            <w:rStyle w:val="Hipervnculo"/>
            <w:rFonts w:cs="Arial"/>
            <w:sz w:val="14"/>
            <w:szCs w:val="14"/>
          </w:rPr>
          <w:t>https://www.diputados.gob.mx/LeyesBiblio/pdf/LGIPE.pdf</w:t>
        </w:r>
      </w:hyperlink>
      <w:r w:rsidRPr="00022741">
        <w:rPr>
          <w:rFonts w:cs="Arial"/>
          <w:sz w:val="14"/>
          <w:szCs w:val="14"/>
        </w:rPr>
        <w:t xml:space="preserve"> </w:t>
      </w:r>
    </w:p>
  </w:footnote>
  <w:footnote w:id="8">
    <w:p w14:paraId="53E2D92D" w14:textId="77777777" w:rsidR="00272AFD" w:rsidRPr="00022741" w:rsidRDefault="00272AFD" w:rsidP="00272AFD">
      <w:pPr>
        <w:pStyle w:val="Textonotapie"/>
        <w:jc w:val="left"/>
        <w:rPr>
          <w:rFonts w:cs="Arial"/>
          <w:sz w:val="14"/>
          <w:szCs w:val="14"/>
        </w:rPr>
      </w:pPr>
      <w:r w:rsidRPr="00022741">
        <w:rPr>
          <w:rStyle w:val="Refdenotaalpie"/>
          <w:rFonts w:cs="Arial"/>
          <w:sz w:val="14"/>
          <w:szCs w:val="14"/>
        </w:rPr>
        <w:footnoteRef/>
      </w:r>
      <w:r w:rsidRPr="00022741">
        <w:rPr>
          <w:rFonts w:cs="Arial"/>
          <w:sz w:val="14"/>
          <w:szCs w:val="14"/>
        </w:rPr>
        <w:t xml:space="preserve"> Disponible para su consulta en</w:t>
      </w:r>
      <w:r w:rsidRPr="00022741">
        <w:rPr>
          <w:sz w:val="14"/>
          <w:szCs w:val="14"/>
        </w:rPr>
        <w:t xml:space="preserve"> el siguiente enlace</w:t>
      </w:r>
      <w:r w:rsidRPr="00022741">
        <w:rPr>
          <w:rFonts w:cs="Arial"/>
          <w:sz w:val="14"/>
          <w:szCs w:val="14"/>
        </w:rPr>
        <w:t xml:space="preserve">: </w:t>
      </w:r>
      <w:hyperlink r:id="rId6" w:history="1">
        <w:r w:rsidRPr="00022741">
          <w:rPr>
            <w:rStyle w:val="Hipervnculo"/>
            <w:rFonts w:cs="Arial"/>
            <w:sz w:val="14"/>
            <w:szCs w:val="14"/>
          </w:rPr>
          <w:t>https://www.congresooaxaca.gob.mx/docs66.congresooaxaca.gob.mx/legislacion_estatal/Ley_de_Instituciones_y_Procedimientos_Electorales_de_Oaxaca_(Dto_Ref_1226_aprob_LXV_Legis_4_abril_2023_PO_16_28a_secc_22_abr_2023).pdf</w:t>
        </w:r>
      </w:hyperlink>
      <w:r w:rsidRPr="00022741">
        <w:rPr>
          <w:rFonts w:cs="Arial"/>
          <w:sz w:val="14"/>
          <w:szCs w:val="14"/>
        </w:rPr>
        <w:t xml:space="preserve"> </w:t>
      </w:r>
    </w:p>
  </w:footnote>
  <w:footnote w:id="9">
    <w:p w14:paraId="795AC86F" w14:textId="07D9E58E" w:rsidR="00022741" w:rsidRDefault="00022741" w:rsidP="00195755">
      <w:pPr>
        <w:pStyle w:val="Textonotapie"/>
        <w:jc w:val="left"/>
      </w:pPr>
      <w:r w:rsidRPr="00022741">
        <w:rPr>
          <w:rStyle w:val="Refdenotaalpie"/>
          <w:sz w:val="14"/>
          <w:szCs w:val="14"/>
        </w:rPr>
        <w:footnoteRef/>
      </w:r>
      <w:r w:rsidRPr="00022741">
        <w:rPr>
          <w:sz w:val="14"/>
          <w:szCs w:val="14"/>
        </w:rPr>
        <w:t xml:space="preserve"> Disponible para su consulta en: </w:t>
      </w:r>
      <w:hyperlink r:id="rId7" w:history="1">
        <w:r w:rsidRPr="00022741">
          <w:rPr>
            <w:rStyle w:val="Hipervnculo"/>
            <w:sz w:val="14"/>
            <w:szCs w:val="14"/>
          </w:rPr>
          <w:t>https://www.congresooaxaca.gob.mx/docs66.congresooaxaca.gob.mx/legislacion_estatal/LEY_DE_REVOCACION_DE_MANDATO_PARA_EL_ESTADO_DE_OAXACA(Resolucion_SCJN_25_noviembre_2025_accion_inconstitucionalidad_116_2025_118_2025_c).pdf</w:t>
        </w:r>
      </w:hyperlink>
      <w:r>
        <w:t xml:space="preserve"> </w:t>
      </w:r>
    </w:p>
  </w:footnote>
  <w:footnote w:id="10">
    <w:p w14:paraId="0107F633" w14:textId="3945D41F" w:rsidR="00A30C8C" w:rsidRDefault="00A30C8C" w:rsidP="00195755">
      <w:pPr>
        <w:pStyle w:val="Textonotapie"/>
        <w:jc w:val="left"/>
      </w:pPr>
      <w:r w:rsidRPr="00A30C8C">
        <w:rPr>
          <w:rStyle w:val="Refdenotaalpie"/>
          <w:sz w:val="14"/>
          <w:szCs w:val="14"/>
        </w:rPr>
        <w:footnoteRef/>
      </w:r>
      <w:r w:rsidRPr="00A30C8C">
        <w:rPr>
          <w:sz w:val="14"/>
          <w:szCs w:val="14"/>
        </w:rPr>
        <w:t xml:space="preserve"> Disponible para su consulta en el siguiente enlace: </w:t>
      </w:r>
      <w:hyperlink r:id="rId8" w:history="1">
        <w:r w:rsidRPr="00A30C8C">
          <w:rPr>
            <w:rStyle w:val="Hipervnculo"/>
            <w:sz w:val="14"/>
            <w:szCs w:val="14"/>
          </w:rPr>
          <w:t>https://www.congresooaxaca.gob.mx/docs66.congresooaxaca.gob.mx/legislacion_estatal/Ley_para_atender_prevenir_y_eliminar_la_discriminacion_en_el_Estado_de_Oaxaca_(Dto_ref_2384__aprob_LXV_Legis_21_ago_2024_PO_37_9a_secc_14_sep_2024).pdf</w:t>
        </w:r>
      </w:hyperlink>
      <w:r>
        <w:t xml:space="preserve"> </w:t>
      </w:r>
    </w:p>
  </w:footnote>
  <w:footnote w:id="11">
    <w:p w14:paraId="41774C65" w14:textId="0569C01F" w:rsidR="009314DA" w:rsidRPr="00A6145B" w:rsidRDefault="009314DA" w:rsidP="00A6145B">
      <w:pPr>
        <w:pStyle w:val="Textonotapie"/>
        <w:jc w:val="left"/>
        <w:rPr>
          <w:sz w:val="14"/>
          <w:szCs w:val="14"/>
        </w:rPr>
      </w:pPr>
      <w:r w:rsidRPr="00A6145B">
        <w:rPr>
          <w:rStyle w:val="Refdenotaalpie"/>
          <w:sz w:val="14"/>
          <w:szCs w:val="14"/>
        </w:rPr>
        <w:footnoteRef/>
      </w:r>
      <w:r w:rsidRPr="00A6145B">
        <w:rPr>
          <w:sz w:val="14"/>
          <w:szCs w:val="14"/>
        </w:rPr>
        <w:t xml:space="preserve"> Disponible para su consulta en: </w:t>
      </w:r>
      <w:hyperlink r:id="rId9" w:history="1">
        <w:r w:rsidRPr="00A6145B">
          <w:rPr>
            <w:rStyle w:val="Hipervnculo"/>
            <w:sz w:val="14"/>
            <w:szCs w:val="14"/>
          </w:rPr>
          <w:t>https://www.ieepco.org.mx/archivos/documentos/2025/REVOCACION/LINEAMIENTOS%20PARA%20EL%20DESARROLLO%20DE%20LA%20RM.pdf</w:t>
        </w:r>
      </w:hyperlink>
      <w:r w:rsidRPr="00A6145B">
        <w:rPr>
          <w:sz w:val="14"/>
          <w:szCs w:val="14"/>
        </w:rPr>
        <w:t xml:space="preserve"> </w:t>
      </w:r>
    </w:p>
  </w:footnote>
  <w:footnote w:id="12">
    <w:p w14:paraId="13D8ABFA" w14:textId="7C8034EA" w:rsidR="006D088A" w:rsidRPr="00A6145B" w:rsidRDefault="006D088A" w:rsidP="00CA0230">
      <w:pPr>
        <w:pStyle w:val="Textonotapie"/>
        <w:rPr>
          <w:rFonts w:cs="Arial"/>
          <w:sz w:val="14"/>
          <w:szCs w:val="14"/>
        </w:rPr>
      </w:pPr>
      <w:r w:rsidRPr="00A6145B">
        <w:rPr>
          <w:rStyle w:val="Refdenotaalpie"/>
          <w:rFonts w:cs="Arial"/>
          <w:sz w:val="14"/>
          <w:szCs w:val="14"/>
        </w:rPr>
        <w:footnoteRef/>
      </w:r>
      <w:r w:rsidRPr="00A6145B">
        <w:rPr>
          <w:rFonts w:cs="Arial"/>
          <w:sz w:val="14"/>
          <w:szCs w:val="14"/>
        </w:rPr>
        <w:t xml:space="preserve"> </w:t>
      </w:r>
      <w:r w:rsidRPr="00A6145B">
        <w:rPr>
          <w:rFonts w:cs="Arial"/>
          <w:b/>
          <w:bCs/>
          <w:sz w:val="14"/>
          <w:szCs w:val="14"/>
        </w:rPr>
        <w:t xml:space="preserve">Nota: </w:t>
      </w:r>
      <w:r w:rsidRPr="00A6145B">
        <w:rPr>
          <w:rFonts w:cs="Arial"/>
          <w:sz w:val="14"/>
          <w:szCs w:val="14"/>
        </w:rPr>
        <w:t xml:space="preserve">Definición institucional adoptada por el Instituto Estatal Electoral y de Participación Ciudadana de Oaxaca. Retoma los lineamientos operativos y obligaciones institucionales establecidos en el </w:t>
      </w:r>
      <w:r w:rsidRPr="00A6145B">
        <w:rPr>
          <w:rStyle w:val="Textoennegrita"/>
          <w:sz w:val="14"/>
          <w:szCs w:val="14"/>
        </w:rPr>
        <w:t xml:space="preserve">Protocolo para adoptar las medidas tendientes a garantizar a las personas trans el ejercicio del voto en igualdad de condiciones y sin discriminación en todos los tipos de elección y mecanismos de participación ciudadana del INE (2018). </w:t>
      </w:r>
      <w:r w:rsidRPr="00A6145B">
        <w:rPr>
          <w:rStyle w:val="Textoennegrita"/>
          <w:b w:val="0"/>
          <w:bCs w:val="0"/>
          <w:sz w:val="14"/>
          <w:szCs w:val="14"/>
        </w:rPr>
        <w:t xml:space="preserve">Disponible para su consulta en el siguiente enlace: </w:t>
      </w:r>
      <w:hyperlink r:id="rId10" w:history="1">
        <w:r w:rsidRPr="00A6145B">
          <w:rPr>
            <w:rStyle w:val="Hipervnculo"/>
            <w:sz w:val="14"/>
            <w:szCs w:val="14"/>
          </w:rPr>
          <w:t>https://www.ine.mx/wp-content/uploads/2018/06/DECEyEC-Protocolo-Trans.pdf</w:t>
        </w:r>
      </w:hyperlink>
      <w:r w:rsidRPr="00A6145B">
        <w:rPr>
          <w:rStyle w:val="Textoennegrita"/>
          <w:b w:val="0"/>
          <w:bCs w:val="0"/>
          <w:sz w:val="14"/>
          <w:szCs w:val="14"/>
        </w:rPr>
        <w:t xml:space="preserve"> </w:t>
      </w:r>
    </w:p>
  </w:footnote>
  <w:footnote w:id="13">
    <w:p w14:paraId="4B03FB99" w14:textId="675438DD" w:rsidR="00AA2AEC" w:rsidRPr="00F83AAD" w:rsidRDefault="00AA2AEC">
      <w:pPr>
        <w:pStyle w:val="Textonotapie"/>
        <w:rPr>
          <w:sz w:val="14"/>
          <w:szCs w:val="14"/>
        </w:rPr>
      </w:pPr>
      <w:r w:rsidRPr="00A6145B">
        <w:rPr>
          <w:rStyle w:val="Refdenotaalpie"/>
          <w:sz w:val="14"/>
          <w:szCs w:val="14"/>
        </w:rPr>
        <w:footnoteRef/>
      </w:r>
      <w:r w:rsidRPr="00A6145B">
        <w:rPr>
          <w:sz w:val="14"/>
          <w:szCs w:val="14"/>
        </w:rPr>
        <w:t xml:space="preserve"> Disponible para su consulta en el siguiente enlace: </w:t>
      </w:r>
      <w:hyperlink r:id="rId11" w:history="1">
        <w:r w:rsidR="00F83AAD" w:rsidRPr="00A6145B">
          <w:rPr>
            <w:rStyle w:val="Hipervnculo"/>
            <w:sz w:val="14"/>
            <w:szCs w:val="14"/>
          </w:rPr>
          <w:t>https://igualdad.ine.mx/wp-content/uploads/2020/12/ctfigynd-or-201908-30-p9-a13.pdf</w:t>
        </w:r>
      </w:hyperlink>
      <w:r w:rsidR="00F83AAD" w:rsidRPr="00F83AAD">
        <w:rPr>
          <w:sz w:val="14"/>
          <w:szCs w:val="14"/>
        </w:rPr>
        <w:t xml:space="preserve"> </w:t>
      </w:r>
    </w:p>
  </w:footnote>
  <w:footnote w:id="14">
    <w:p w14:paraId="14C904F6" w14:textId="7F35563F" w:rsidR="000E5CE1" w:rsidRPr="00F83AAD" w:rsidRDefault="000E5CE1" w:rsidP="00DA08A5">
      <w:pPr>
        <w:pStyle w:val="Textonotapie"/>
        <w:jc w:val="left"/>
        <w:rPr>
          <w:sz w:val="14"/>
          <w:szCs w:val="14"/>
        </w:rPr>
      </w:pPr>
      <w:r w:rsidRPr="00F83AAD">
        <w:rPr>
          <w:rStyle w:val="Refdenotaalpie"/>
          <w:sz w:val="14"/>
          <w:szCs w:val="14"/>
        </w:rPr>
        <w:footnoteRef/>
      </w:r>
      <w:r w:rsidRPr="00F83AAD">
        <w:rPr>
          <w:sz w:val="14"/>
          <w:szCs w:val="14"/>
        </w:rPr>
        <w:t xml:space="preserve"> Disponible para su consulta en el siguiente enlace: </w:t>
      </w:r>
      <w:hyperlink r:id="rId12" w:history="1">
        <w:r w:rsidRPr="00F83AAD">
          <w:rPr>
            <w:rStyle w:val="Hipervnculo"/>
            <w:sz w:val="14"/>
            <w:szCs w:val="14"/>
          </w:rPr>
          <w:t>https://sitios.ine.mx/archivos2/tutoriales/sistemas/ApoyoInstitucional/SNR/rsc/docs/PDF/INE_CG164_2020.pdf</w:t>
        </w:r>
      </w:hyperlink>
      <w:r w:rsidRPr="00F83AAD">
        <w:rPr>
          <w:sz w:val="14"/>
          <w:szCs w:val="14"/>
        </w:rPr>
        <w:t xml:space="preserve"> </w:t>
      </w:r>
    </w:p>
  </w:footnote>
  <w:footnote w:id="15">
    <w:p w14:paraId="06F8CF77" w14:textId="307BCCA0" w:rsidR="00981514" w:rsidRPr="00981514" w:rsidRDefault="00981514">
      <w:pPr>
        <w:pStyle w:val="Textonotapie"/>
        <w:rPr>
          <w:sz w:val="14"/>
          <w:szCs w:val="14"/>
        </w:rPr>
      </w:pPr>
      <w:r w:rsidRPr="00F83AAD">
        <w:rPr>
          <w:rStyle w:val="Refdenotaalpie"/>
          <w:sz w:val="14"/>
          <w:szCs w:val="14"/>
        </w:rPr>
        <w:footnoteRef/>
      </w:r>
      <w:r w:rsidRPr="00F83AAD">
        <w:rPr>
          <w:sz w:val="14"/>
          <w:szCs w:val="14"/>
        </w:rPr>
        <w:t xml:space="preserve"> Disponible para consulta en el siguiente enlace</w:t>
      </w:r>
      <w:r w:rsidR="000E5CE1" w:rsidRPr="00F83AAD">
        <w:rPr>
          <w:sz w:val="14"/>
          <w:szCs w:val="14"/>
        </w:rPr>
        <w:t>:</w:t>
      </w:r>
      <w:r w:rsidRPr="00F83AAD">
        <w:rPr>
          <w:sz w:val="14"/>
          <w:szCs w:val="14"/>
        </w:rPr>
        <w:t xml:space="preserve"> </w:t>
      </w:r>
      <w:hyperlink r:id="rId13" w:history="1">
        <w:r w:rsidRPr="00F83AAD">
          <w:rPr>
            <w:rStyle w:val="Hipervnculo"/>
            <w:sz w:val="14"/>
            <w:szCs w:val="14"/>
          </w:rPr>
          <w:t>https://periodicooficial.oaxaca.gob.mx/files/2011/04/EXT13-DEC397-2011-04-15.pdf</w:t>
        </w:r>
      </w:hyperlink>
      <w:r w:rsidRPr="00981514">
        <w:rPr>
          <w:sz w:val="14"/>
          <w:szCs w:val="14"/>
        </w:rPr>
        <w:t xml:space="preserve"> </w:t>
      </w:r>
    </w:p>
  </w:footnote>
  <w:footnote w:id="16">
    <w:p w14:paraId="49EC4396" w14:textId="14AA17F8" w:rsidR="0083033F" w:rsidRPr="0083033F" w:rsidRDefault="0083033F">
      <w:pPr>
        <w:pStyle w:val="Textonotapie"/>
        <w:rPr>
          <w:sz w:val="14"/>
          <w:szCs w:val="14"/>
        </w:rPr>
      </w:pPr>
      <w:r w:rsidRPr="0083033F">
        <w:rPr>
          <w:rStyle w:val="Refdenotaalpie"/>
          <w:sz w:val="14"/>
          <w:szCs w:val="14"/>
        </w:rPr>
        <w:footnoteRef/>
      </w:r>
      <w:r w:rsidRPr="0083033F">
        <w:rPr>
          <w:sz w:val="14"/>
          <w:szCs w:val="14"/>
        </w:rPr>
        <w:t xml:space="preserve"> Disponible para su consulta en el siguiente enlace: </w:t>
      </w:r>
      <w:hyperlink r:id="rId14" w:history="1">
        <w:r w:rsidRPr="0083033F">
          <w:rPr>
            <w:rStyle w:val="Hipervnculo"/>
            <w:sz w:val="14"/>
            <w:szCs w:val="14"/>
          </w:rPr>
          <w:t>https://teeo.mx/images/sentencias/JDC-264-2021-1.pdf</w:t>
        </w:r>
      </w:hyperlink>
      <w:r w:rsidRPr="0083033F">
        <w:rPr>
          <w:sz w:val="14"/>
          <w:szCs w:val="14"/>
        </w:rPr>
        <w:t xml:space="preserve"> </w:t>
      </w:r>
    </w:p>
  </w:footnote>
  <w:footnote w:id="17">
    <w:p w14:paraId="3A335722" w14:textId="3ACE3DBC" w:rsidR="00E04443" w:rsidRPr="00E04443" w:rsidRDefault="00E04443">
      <w:pPr>
        <w:pStyle w:val="Textonotapie"/>
        <w:rPr>
          <w:sz w:val="14"/>
          <w:szCs w:val="14"/>
        </w:rPr>
      </w:pPr>
      <w:r w:rsidRPr="0083033F">
        <w:rPr>
          <w:rStyle w:val="Refdenotaalpie"/>
          <w:sz w:val="14"/>
          <w:szCs w:val="14"/>
        </w:rPr>
        <w:footnoteRef/>
      </w:r>
      <w:r w:rsidRPr="0083033F">
        <w:rPr>
          <w:sz w:val="14"/>
          <w:szCs w:val="14"/>
        </w:rPr>
        <w:t xml:space="preserve"> Disponible para su consulta en el siguiente enlace: </w:t>
      </w:r>
      <w:hyperlink r:id="rId15" w:history="1">
        <w:r w:rsidRPr="0083033F">
          <w:rPr>
            <w:rStyle w:val="Hipervnculo"/>
            <w:sz w:val="14"/>
            <w:szCs w:val="14"/>
          </w:rPr>
          <w:t>https://www.te.gob.mx/sentenciasHTML/convertir/expediente/SUP-JDC-0220-2023-</w:t>
        </w:r>
      </w:hyperlink>
      <w:r w:rsidRPr="00E04443">
        <w:rPr>
          <w:sz w:val="14"/>
          <w:szCs w:val="14"/>
        </w:rPr>
        <w:t xml:space="preserve"> </w:t>
      </w:r>
    </w:p>
  </w:footnote>
  <w:footnote w:id="18">
    <w:p w14:paraId="73B954E1" w14:textId="598EA0AF" w:rsidR="00335438" w:rsidRPr="00493E53" w:rsidRDefault="00335438" w:rsidP="00C058C0">
      <w:pPr>
        <w:pStyle w:val="Textonotapie"/>
        <w:jc w:val="left"/>
        <w:rPr>
          <w:sz w:val="14"/>
          <w:szCs w:val="14"/>
        </w:rPr>
      </w:pPr>
      <w:r w:rsidRPr="00493E53">
        <w:rPr>
          <w:rStyle w:val="Refdenotaalpie"/>
          <w:sz w:val="14"/>
          <w:szCs w:val="14"/>
        </w:rPr>
        <w:footnoteRef/>
      </w:r>
      <w:r w:rsidRPr="00493E53">
        <w:rPr>
          <w:sz w:val="14"/>
          <w:szCs w:val="14"/>
        </w:rPr>
        <w:t xml:space="preserve"> </w:t>
      </w:r>
      <w:r w:rsidRPr="00493E53">
        <w:rPr>
          <w:b/>
          <w:bCs/>
          <w:sz w:val="14"/>
          <w:szCs w:val="14"/>
        </w:rPr>
        <w:t>Nota:</w:t>
      </w:r>
      <w:r w:rsidRPr="00493E53">
        <w:rPr>
          <w:sz w:val="14"/>
          <w:szCs w:val="14"/>
        </w:rPr>
        <w:t xml:space="preserve"> Texto recuperado del acuerdo INE/CG661/2016, acuerdo original por el cual se aprueba el Reglamento de Elecciones del Instituto Nacional Electoral. Disponible para su consulta en: </w:t>
      </w:r>
      <w:r w:rsidR="00844DDC">
        <w:rPr>
          <w:sz w:val="14"/>
          <w:szCs w:val="14"/>
        </w:rPr>
        <w:t xml:space="preserve"> </w:t>
      </w:r>
      <w:hyperlink r:id="rId16" w:history="1">
        <w:r w:rsidR="00C058C0" w:rsidRPr="00EE7CBB">
          <w:rPr>
            <w:rStyle w:val="Hipervnculo"/>
            <w:sz w:val="14"/>
            <w:szCs w:val="14"/>
          </w:rPr>
          <w:t>https://repositoriodocumental.ine.mx/xmlui/bitstream/handle/123456789/85996/CGex201609-7-ap-7.pdf</w:t>
        </w:r>
      </w:hyperlink>
      <w:r w:rsidR="00C058C0">
        <w:rPr>
          <w:sz w:val="14"/>
          <w:szCs w:val="14"/>
        </w:rPr>
        <w:t xml:space="preserve"> </w:t>
      </w:r>
      <w:r w:rsidR="00994C1E">
        <w:rPr>
          <w:sz w:val="14"/>
          <w:szCs w:val="14"/>
        </w:rPr>
        <w:t xml:space="preserve"> </w:t>
      </w:r>
      <w:r w:rsidR="00493E53" w:rsidRPr="00493E53">
        <w:rPr>
          <w:sz w:val="14"/>
          <w:szCs w:val="14"/>
        </w:rPr>
        <w:t xml:space="preserve"> </w:t>
      </w:r>
      <w:r w:rsidR="00994C1E">
        <w:rPr>
          <w:sz w:val="14"/>
          <w:szCs w:val="14"/>
        </w:rPr>
        <w:t xml:space="preserve"> </w:t>
      </w:r>
    </w:p>
  </w:footnote>
  <w:footnote w:id="19">
    <w:p w14:paraId="7DEF0588" w14:textId="77777777" w:rsidR="0083357A" w:rsidRPr="00C674C2" w:rsidRDefault="0083357A" w:rsidP="0083357A">
      <w:pPr>
        <w:pStyle w:val="Textonotapie"/>
        <w:rPr>
          <w:sz w:val="14"/>
          <w:szCs w:val="14"/>
        </w:rPr>
      </w:pPr>
      <w:r w:rsidRPr="00C674C2">
        <w:rPr>
          <w:rStyle w:val="Refdenotaalpie"/>
          <w:sz w:val="14"/>
          <w:szCs w:val="14"/>
        </w:rPr>
        <w:footnoteRef/>
      </w:r>
      <w:r w:rsidRPr="00C674C2">
        <w:rPr>
          <w:rStyle w:val="Textoennegrita"/>
          <w:sz w:val="14"/>
          <w:szCs w:val="14"/>
        </w:rPr>
        <w:t>Protocolo para adoptar las medidas tendientes a garantizar a las personas trans el ejercicio del voto en igualdad de condiciones y sin discriminación en todos los tipos de elección y mecanismos de participación ciudadana del INE (2018.</w:t>
      </w:r>
      <w:r w:rsidRPr="00C674C2">
        <w:rPr>
          <w:sz w:val="14"/>
          <w:szCs w:val="14"/>
        </w:rPr>
        <w:t xml:space="preserve"> Disponible para su consulta en el siguiente enlace: </w:t>
      </w:r>
      <w:hyperlink r:id="rId17" w:history="1">
        <w:r w:rsidRPr="00C674C2">
          <w:rPr>
            <w:rStyle w:val="Hipervnculo"/>
            <w:sz w:val="14"/>
            <w:szCs w:val="14"/>
          </w:rPr>
          <w:t>https://www.ine.mx/wp-content/uploads/2018/06/DECEyEC-Protocolo-Trans.pdf</w:t>
        </w:r>
      </w:hyperlink>
    </w:p>
  </w:footnote>
  <w:footnote w:id="20">
    <w:p w14:paraId="4DC783B1" w14:textId="40F6E2F7" w:rsidR="004C0B0A" w:rsidRPr="00A74075" w:rsidRDefault="004C0B0A">
      <w:pPr>
        <w:pStyle w:val="Textonotapie"/>
        <w:rPr>
          <w:sz w:val="14"/>
          <w:szCs w:val="14"/>
        </w:rPr>
      </w:pPr>
      <w:r w:rsidRPr="00A74075">
        <w:rPr>
          <w:rStyle w:val="Refdenotaalpie"/>
          <w:sz w:val="14"/>
          <w:szCs w:val="14"/>
        </w:rPr>
        <w:footnoteRef/>
      </w:r>
      <w:r w:rsidR="00A74075" w:rsidRPr="00A74075">
        <w:rPr>
          <w:b/>
          <w:bCs/>
          <w:sz w:val="14"/>
          <w:szCs w:val="14"/>
        </w:rPr>
        <w:t xml:space="preserve">Texto del artículo citado. </w:t>
      </w:r>
      <w:r w:rsidRPr="00EC02A6">
        <w:rPr>
          <w:i/>
          <w:iCs/>
          <w:sz w:val="14"/>
          <w:szCs w:val="14"/>
        </w:rPr>
        <w:t>Asistir a los cursos de capacitación, preparación o información que impartan el Instituto y los Organismos Públicos Locales o las propias organizaciones a las que pertenezcan los observadores electorales bajo los lineamientos y contenidos que dicten las autoridades competentes del Instituto, las que podrán supervisar dichos cursos. La falta de supervisión no imputable a la organización respectiva no será causa para que se niegue la acreditación</w:t>
      </w:r>
      <w:r w:rsidR="00EC02A6">
        <w:rPr>
          <w:i/>
          <w:iCs/>
          <w:sz w:val="14"/>
          <w:szCs w:val="14"/>
        </w:rPr>
        <w:t>.</w:t>
      </w:r>
    </w:p>
  </w:footnote>
  <w:footnote w:id="21">
    <w:p w14:paraId="0176F829" w14:textId="6347E2A2" w:rsidR="00C95AF6" w:rsidRPr="00E60CDC" w:rsidRDefault="00C95AF6">
      <w:pPr>
        <w:pStyle w:val="Textonotapie"/>
        <w:rPr>
          <w:sz w:val="14"/>
          <w:szCs w:val="14"/>
        </w:rPr>
      </w:pPr>
      <w:r w:rsidRPr="00E60CDC">
        <w:rPr>
          <w:rStyle w:val="Refdenotaalpie"/>
          <w:sz w:val="14"/>
          <w:szCs w:val="14"/>
        </w:rPr>
        <w:footnoteRef/>
      </w:r>
      <w:r w:rsidRPr="00E60CDC">
        <w:rPr>
          <w:sz w:val="14"/>
          <w:szCs w:val="14"/>
        </w:rPr>
        <w:t xml:space="preserve"> De conformidad con el artículo0 </w:t>
      </w:r>
      <w:r w:rsidR="00E60CDC" w:rsidRPr="00E60CDC">
        <w:rPr>
          <w:sz w:val="14"/>
          <w:szCs w:val="14"/>
        </w:rPr>
        <w:t xml:space="preserve">199, numeral 1 del RE. </w:t>
      </w:r>
    </w:p>
  </w:footnote>
  <w:footnote w:id="22">
    <w:p w14:paraId="38231170" w14:textId="168F53B5" w:rsidR="00B6719A" w:rsidRDefault="00B6719A">
      <w:pPr>
        <w:pStyle w:val="Textonotapie"/>
      </w:pPr>
      <w:r>
        <w:rPr>
          <w:rStyle w:val="Refdenotaalpie"/>
        </w:rPr>
        <w:footnoteRef/>
      </w:r>
      <w:r>
        <w:t xml:space="preserve"> </w:t>
      </w:r>
      <w:r>
        <w:rPr>
          <w:rStyle w:val="Textoennegrita"/>
          <w:b w:val="0"/>
          <w:bCs w:val="0"/>
          <w:sz w:val="14"/>
          <w:szCs w:val="14"/>
        </w:rPr>
        <w:t xml:space="preserve">Disponible para su consulta en el siguiente enlace: </w:t>
      </w:r>
      <w:hyperlink r:id="rId18" w:history="1">
        <w:r w:rsidRPr="00575E79">
          <w:rPr>
            <w:rStyle w:val="Hipervnculo"/>
            <w:sz w:val="14"/>
            <w:szCs w:val="14"/>
          </w:rPr>
          <w:t>https://www.ine.mx/wp-content/uploads/2018/06/DECEyEC-Protocolo-Trans.pdf</w:t>
        </w:r>
      </w:hyperlink>
    </w:p>
  </w:footnote>
  <w:footnote w:id="23">
    <w:p w14:paraId="2F0679C9" w14:textId="37910319" w:rsidR="007F0FBB" w:rsidRDefault="007F0FBB">
      <w:pPr>
        <w:pStyle w:val="Textonotapie"/>
      </w:pPr>
      <w:r>
        <w:rPr>
          <w:rStyle w:val="Refdenotaalpie"/>
        </w:rPr>
        <w:footnoteRef/>
      </w:r>
      <w:r>
        <w:t xml:space="preserve"> De conformidad con el artículo 2</w:t>
      </w:r>
      <w:r w:rsidR="00F424B3">
        <w:t>02,</w:t>
      </w:r>
      <w:r w:rsidR="000378C4">
        <w:t xml:space="preserve"> del RE.</w:t>
      </w:r>
    </w:p>
  </w:footnote>
  <w:footnote w:id="24">
    <w:p w14:paraId="407733E8" w14:textId="6EF1B721" w:rsidR="00E16899" w:rsidRPr="00F75C35" w:rsidRDefault="00E16899">
      <w:pPr>
        <w:pStyle w:val="Textonotapie"/>
        <w:rPr>
          <w:sz w:val="14"/>
          <w:szCs w:val="14"/>
        </w:rPr>
      </w:pPr>
      <w:r w:rsidRPr="00F75C35">
        <w:rPr>
          <w:rStyle w:val="Refdenotaalpie"/>
          <w:sz w:val="14"/>
          <w:szCs w:val="14"/>
        </w:rPr>
        <w:footnoteRef/>
      </w:r>
      <w:r w:rsidRPr="00F75C35">
        <w:rPr>
          <w:sz w:val="14"/>
          <w:szCs w:val="14"/>
        </w:rPr>
        <w:t xml:space="preserve"> De conformidad con el artículo 211, numeral 3, del Reglamento de Elecciones del INE.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142D"/>
    <w:multiLevelType w:val="hybridMultilevel"/>
    <w:tmpl w:val="71F8ACF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9D96CBB"/>
    <w:multiLevelType w:val="hybridMultilevel"/>
    <w:tmpl w:val="CF383464"/>
    <w:lvl w:ilvl="0" w:tplc="191C9AE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0F023D"/>
    <w:multiLevelType w:val="hybridMultilevel"/>
    <w:tmpl w:val="F5EE58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5A0A42"/>
    <w:multiLevelType w:val="hybridMultilevel"/>
    <w:tmpl w:val="9C062728"/>
    <w:lvl w:ilvl="0" w:tplc="191C9AE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DF4971"/>
    <w:multiLevelType w:val="hybridMultilevel"/>
    <w:tmpl w:val="7AD22558"/>
    <w:lvl w:ilvl="0" w:tplc="060C54C4">
      <w:start w:val="1"/>
      <w:numFmt w:val="lowerLetter"/>
      <w:lvlText w:val="%1)"/>
      <w:lvlJc w:val="left"/>
      <w:pPr>
        <w:ind w:left="1068" w:hanging="360"/>
      </w:pPr>
      <w:rPr>
        <w:b w:val="0"/>
        <w:bCs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40F2DA8"/>
    <w:multiLevelType w:val="hybridMultilevel"/>
    <w:tmpl w:val="CCDE1BA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48A1669"/>
    <w:multiLevelType w:val="multilevel"/>
    <w:tmpl w:val="C4C2ED3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 w15:restartNumberingAfterBreak="0">
    <w:nsid w:val="181D42D7"/>
    <w:multiLevelType w:val="hybridMultilevel"/>
    <w:tmpl w:val="8E140174"/>
    <w:lvl w:ilvl="0" w:tplc="191C9AE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760549"/>
    <w:multiLevelType w:val="hybridMultilevel"/>
    <w:tmpl w:val="D39C974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9E04EDC"/>
    <w:multiLevelType w:val="hybridMultilevel"/>
    <w:tmpl w:val="498610F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C9A782B"/>
    <w:multiLevelType w:val="hybridMultilevel"/>
    <w:tmpl w:val="673CD552"/>
    <w:lvl w:ilvl="0" w:tplc="272AC8BC">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FD75DB"/>
    <w:multiLevelType w:val="hybridMultilevel"/>
    <w:tmpl w:val="65421AC0"/>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20713D33"/>
    <w:multiLevelType w:val="multilevel"/>
    <w:tmpl w:val="0F2C46F8"/>
    <w:lvl w:ilvl="0">
      <w:start w:val="1"/>
      <w:numFmt w:val="decimal"/>
      <w:lvlText w:val="%1."/>
      <w:lvlJc w:val="left"/>
      <w:pPr>
        <w:ind w:left="1352" w:hanging="360"/>
      </w:pPr>
      <w:rPr>
        <w:rFonts w:ascii="Arial" w:eastAsia="Arial" w:hAnsi="Arial" w:cs="Arial"/>
        <w:b/>
        <w:sz w:val="24"/>
        <w:szCs w:val="24"/>
        <w:vertAlign w:val="baseline"/>
      </w:rPr>
    </w:lvl>
    <w:lvl w:ilvl="1">
      <w:start w:val="1"/>
      <w:numFmt w:val="lowerLetter"/>
      <w:lvlText w:val="%2."/>
      <w:lvlJc w:val="left"/>
      <w:pPr>
        <w:ind w:left="2160" w:hanging="360"/>
      </w:pPr>
      <w:rPr>
        <w:sz w:val="24"/>
        <w:szCs w:val="24"/>
        <w:vertAlign w:val="baseline"/>
      </w:rPr>
    </w:lvl>
    <w:lvl w:ilvl="2">
      <w:start w:val="1"/>
      <w:numFmt w:val="lowerRoman"/>
      <w:lvlText w:val="%3."/>
      <w:lvlJc w:val="right"/>
      <w:pPr>
        <w:ind w:left="2880" w:hanging="180"/>
      </w:pPr>
      <w:rPr>
        <w:sz w:val="24"/>
        <w:szCs w:val="24"/>
        <w:vertAlign w:val="baseline"/>
      </w:rPr>
    </w:lvl>
    <w:lvl w:ilvl="3">
      <w:start w:val="1"/>
      <w:numFmt w:val="decimal"/>
      <w:lvlText w:val="%4."/>
      <w:lvlJc w:val="left"/>
      <w:pPr>
        <w:ind w:left="3600" w:hanging="360"/>
      </w:pPr>
      <w:rPr>
        <w:sz w:val="24"/>
        <w:szCs w:val="24"/>
        <w:vertAlign w:val="baseline"/>
      </w:rPr>
    </w:lvl>
    <w:lvl w:ilvl="4">
      <w:start w:val="1"/>
      <w:numFmt w:val="lowerLetter"/>
      <w:lvlText w:val="%5."/>
      <w:lvlJc w:val="left"/>
      <w:pPr>
        <w:ind w:left="4320" w:hanging="360"/>
      </w:pPr>
      <w:rPr>
        <w:sz w:val="24"/>
        <w:szCs w:val="24"/>
        <w:vertAlign w:val="baseline"/>
      </w:rPr>
    </w:lvl>
    <w:lvl w:ilvl="5">
      <w:start w:val="1"/>
      <w:numFmt w:val="lowerRoman"/>
      <w:lvlText w:val="%6."/>
      <w:lvlJc w:val="right"/>
      <w:pPr>
        <w:ind w:left="5040" w:hanging="180"/>
      </w:pPr>
      <w:rPr>
        <w:sz w:val="24"/>
        <w:szCs w:val="24"/>
        <w:vertAlign w:val="baseline"/>
      </w:rPr>
    </w:lvl>
    <w:lvl w:ilvl="6">
      <w:start w:val="1"/>
      <w:numFmt w:val="decimal"/>
      <w:lvlText w:val="%7."/>
      <w:lvlJc w:val="left"/>
      <w:pPr>
        <w:ind w:left="5760" w:hanging="360"/>
      </w:pPr>
      <w:rPr>
        <w:sz w:val="24"/>
        <w:szCs w:val="24"/>
        <w:vertAlign w:val="baseline"/>
      </w:rPr>
    </w:lvl>
    <w:lvl w:ilvl="7">
      <w:start w:val="1"/>
      <w:numFmt w:val="lowerLetter"/>
      <w:lvlText w:val="%8."/>
      <w:lvlJc w:val="left"/>
      <w:pPr>
        <w:ind w:left="6480" w:hanging="360"/>
      </w:pPr>
      <w:rPr>
        <w:sz w:val="24"/>
        <w:szCs w:val="24"/>
        <w:vertAlign w:val="baseline"/>
      </w:rPr>
    </w:lvl>
    <w:lvl w:ilvl="8">
      <w:start w:val="1"/>
      <w:numFmt w:val="lowerRoman"/>
      <w:lvlText w:val="%9."/>
      <w:lvlJc w:val="right"/>
      <w:pPr>
        <w:ind w:left="7200" w:hanging="180"/>
      </w:pPr>
      <w:rPr>
        <w:sz w:val="24"/>
        <w:szCs w:val="24"/>
        <w:vertAlign w:val="baseline"/>
      </w:rPr>
    </w:lvl>
  </w:abstractNum>
  <w:abstractNum w:abstractNumId="13" w15:restartNumberingAfterBreak="0">
    <w:nsid w:val="217F3DE3"/>
    <w:multiLevelType w:val="hybridMultilevel"/>
    <w:tmpl w:val="F7B8F7BE"/>
    <w:lvl w:ilvl="0" w:tplc="191C9AE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C73B63"/>
    <w:multiLevelType w:val="hybridMultilevel"/>
    <w:tmpl w:val="01FA3CB8"/>
    <w:lvl w:ilvl="0" w:tplc="D43E0C3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F5348C"/>
    <w:multiLevelType w:val="hybridMultilevel"/>
    <w:tmpl w:val="480202D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28127EB1"/>
    <w:multiLevelType w:val="hybridMultilevel"/>
    <w:tmpl w:val="706A28E8"/>
    <w:lvl w:ilvl="0" w:tplc="191C9AE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91A0B05"/>
    <w:multiLevelType w:val="hybridMultilevel"/>
    <w:tmpl w:val="C6BEFF0C"/>
    <w:lvl w:ilvl="0" w:tplc="191C9AE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A473391"/>
    <w:multiLevelType w:val="hybridMultilevel"/>
    <w:tmpl w:val="58CE50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FD7EFF"/>
    <w:multiLevelType w:val="hybridMultilevel"/>
    <w:tmpl w:val="A62C94C2"/>
    <w:lvl w:ilvl="0" w:tplc="080A0017">
      <w:start w:val="1"/>
      <w:numFmt w:val="lowerLetter"/>
      <w:lvlText w:val="%1)"/>
      <w:lvlJc w:val="left"/>
      <w:pPr>
        <w:ind w:left="1788" w:hanging="360"/>
      </w:p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20" w15:restartNumberingAfterBreak="0">
    <w:nsid w:val="2E733E3A"/>
    <w:multiLevelType w:val="hybridMultilevel"/>
    <w:tmpl w:val="CCDE1BA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2F7E236A"/>
    <w:multiLevelType w:val="hybridMultilevel"/>
    <w:tmpl w:val="B410800C"/>
    <w:lvl w:ilvl="0" w:tplc="080A000D">
      <w:start w:val="1"/>
      <w:numFmt w:val="bullet"/>
      <w:lvlText w:val=""/>
      <w:lvlJc w:val="left"/>
      <w:pPr>
        <w:ind w:left="720" w:hanging="360"/>
      </w:pPr>
      <w:rPr>
        <w:rFonts w:ascii="Wingdings" w:hAnsi="Wingdings" w:hint="default"/>
        <w:b/>
        <w:bCs/>
        <w:color w:val="910657"/>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2FF2E51"/>
    <w:multiLevelType w:val="hybridMultilevel"/>
    <w:tmpl w:val="34E45A5A"/>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34D8076A"/>
    <w:multiLevelType w:val="hybridMultilevel"/>
    <w:tmpl w:val="3C4C8982"/>
    <w:lvl w:ilvl="0" w:tplc="080A0013">
      <w:start w:val="1"/>
      <w:numFmt w:val="upperRoman"/>
      <w:lvlText w:val="%1."/>
      <w:lvlJc w:val="righ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4" w15:restartNumberingAfterBreak="0">
    <w:nsid w:val="3B0D27A9"/>
    <w:multiLevelType w:val="hybridMultilevel"/>
    <w:tmpl w:val="52EA75FA"/>
    <w:lvl w:ilvl="0" w:tplc="080A0013">
      <w:start w:val="1"/>
      <w:numFmt w:val="upperRoman"/>
      <w:lvlText w:val="%1."/>
      <w:lvlJc w:val="righ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5" w15:restartNumberingAfterBreak="0">
    <w:nsid w:val="4D4A5C76"/>
    <w:multiLevelType w:val="hybridMultilevel"/>
    <w:tmpl w:val="8AB4A20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4D4D45CF"/>
    <w:multiLevelType w:val="hybridMultilevel"/>
    <w:tmpl w:val="3258D67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4E2A6FE8"/>
    <w:multiLevelType w:val="hybridMultilevel"/>
    <w:tmpl w:val="71F8ACF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502D03B3"/>
    <w:multiLevelType w:val="hybridMultilevel"/>
    <w:tmpl w:val="20F4BB0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504A7512"/>
    <w:multiLevelType w:val="hybridMultilevel"/>
    <w:tmpl w:val="10587A8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5F076069"/>
    <w:multiLevelType w:val="hybridMultilevel"/>
    <w:tmpl w:val="58DA19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C26C3A"/>
    <w:multiLevelType w:val="hybridMultilevel"/>
    <w:tmpl w:val="9B6E73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1BB00B6"/>
    <w:multiLevelType w:val="hybridMultilevel"/>
    <w:tmpl w:val="D4929FCC"/>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62A762D5"/>
    <w:multiLevelType w:val="hybridMultilevel"/>
    <w:tmpl w:val="09AC82D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68844F6A"/>
    <w:multiLevelType w:val="hybridMultilevel"/>
    <w:tmpl w:val="F66AF8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91A798B"/>
    <w:multiLevelType w:val="hybridMultilevel"/>
    <w:tmpl w:val="5AA85CF6"/>
    <w:lvl w:ilvl="0" w:tplc="CA88760A">
      <w:start w:val="1"/>
      <w:numFmt w:val="upperRoman"/>
      <w:lvlText w:val="%1."/>
      <w:lvlJc w:val="left"/>
      <w:pPr>
        <w:ind w:left="1080" w:hanging="360"/>
      </w:pPr>
    </w:lvl>
    <w:lvl w:ilvl="1" w:tplc="BFB89FA0">
      <w:start w:val="1"/>
      <w:numFmt w:val="lowerLetter"/>
      <w:lvlText w:val="%2."/>
      <w:lvlJc w:val="left"/>
      <w:pPr>
        <w:ind w:left="1800" w:hanging="360"/>
      </w:pPr>
    </w:lvl>
    <w:lvl w:ilvl="2" w:tplc="68BECFDA">
      <w:start w:val="1"/>
      <w:numFmt w:val="lowerRoman"/>
      <w:lvlText w:val="%3."/>
      <w:lvlJc w:val="right"/>
      <w:pPr>
        <w:ind w:left="2520" w:hanging="180"/>
      </w:pPr>
    </w:lvl>
    <w:lvl w:ilvl="3" w:tplc="533A4CF4">
      <w:start w:val="1"/>
      <w:numFmt w:val="decimal"/>
      <w:lvlText w:val="%4."/>
      <w:lvlJc w:val="left"/>
      <w:pPr>
        <w:ind w:left="3240" w:hanging="360"/>
      </w:pPr>
    </w:lvl>
    <w:lvl w:ilvl="4" w:tplc="97284FB8">
      <w:start w:val="1"/>
      <w:numFmt w:val="lowerLetter"/>
      <w:lvlText w:val="%5."/>
      <w:lvlJc w:val="left"/>
      <w:pPr>
        <w:ind w:left="3960" w:hanging="360"/>
      </w:pPr>
    </w:lvl>
    <w:lvl w:ilvl="5" w:tplc="A97A566A">
      <w:start w:val="1"/>
      <w:numFmt w:val="lowerRoman"/>
      <w:lvlText w:val="%6."/>
      <w:lvlJc w:val="right"/>
      <w:pPr>
        <w:ind w:left="4680" w:hanging="180"/>
      </w:pPr>
    </w:lvl>
    <w:lvl w:ilvl="6" w:tplc="94005E58">
      <w:start w:val="1"/>
      <w:numFmt w:val="decimal"/>
      <w:lvlText w:val="%7."/>
      <w:lvlJc w:val="left"/>
      <w:pPr>
        <w:ind w:left="5400" w:hanging="360"/>
      </w:pPr>
    </w:lvl>
    <w:lvl w:ilvl="7" w:tplc="E1587F06">
      <w:start w:val="1"/>
      <w:numFmt w:val="lowerLetter"/>
      <w:lvlText w:val="%8."/>
      <w:lvlJc w:val="left"/>
      <w:pPr>
        <w:ind w:left="6120" w:hanging="360"/>
      </w:pPr>
    </w:lvl>
    <w:lvl w:ilvl="8" w:tplc="737A9024">
      <w:start w:val="1"/>
      <w:numFmt w:val="lowerRoman"/>
      <w:lvlText w:val="%9."/>
      <w:lvlJc w:val="right"/>
      <w:pPr>
        <w:ind w:left="6840" w:hanging="180"/>
      </w:pPr>
    </w:lvl>
  </w:abstractNum>
  <w:abstractNum w:abstractNumId="36" w15:restartNumberingAfterBreak="0">
    <w:nsid w:val="69A525F4"/>
    <w:multiLevelType w:val="hybridMultilevel"/>
    <w:tmpl w:val="A88EB8C6"/>
    <w:lvl w:ilvl="0" w:tplc="191C9AE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533D7B"/>
    <w:multiLevelType w:val="hybridMultilevel"/>
    <w:tmpl w:val="9C64257C"/>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6D621EBF"/>
    <w:multiLevelType w:val="hybridMultilevel"/>
    <w:tmpl w:val="58CE50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98491D"/>
    <w:multiLevelType w:val="hybridMultilevel"/>
    <w:tmpl w:val="342CF5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4F77F77"/>
    <w:multiLevelType w:val="hybridMultilevel"/>
    <w:tmpl w:val="988EEC4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1" w15:restartNumberingAfterBreak="0">
    <w:nsid w:val="76016136"/>
    <w:multiLevelType w:val="hybridMultilevel"/>
    <w:tmpl w:val="C6BEFF0C"/>
    <w:lvl w:ilvl="0" w:tplc="191C9AE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D6A1C68"/>
    <w:multiLevelType w:val="hybridMultilevel"/>
    <w:tmpl w:val="FE64E95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770930113">
    <w:abstractNumId w:val="14"/>
  </w:num>
  <w:num w:numId="2" w16cid:durableId="343243025">
    <w:abstractNumId w:val="13"/>
  </w:num>
  <w:num w:numId="3" w16cid:durableId="873884438">
    <w:abstractNumId w:val="12"/>
  </w:num>
  <w:num w:numId="4" w16cid:durableId="1436826017">
    <w:abstractNumId w:val="25"/>
  </w:num>
  <w:num w:numId="5" w16cid:durableId="1650593677">
    <w:abstractNumId w:val="30"/>
  </w:num>
  <w:num w:numId="6" w16cid:durableId="1358001630">
    <w:abstractNumId w:val="29"/>
  </w:num>
  <w:num w:numId="7" w16cid:durableId="2004890200">
    <w:abstractNumId w:val="11"/>
  </w:num>
  <w:num w:numId="8" w16cid:durableId="1687514195">
    <w:abstractNumId w:val="41"/>
  </w:num>
  <w:num w:numId="9" w16cid:durableId="1149054095">
    <w:abstractNumId w:val="28"/>
  </w:num>
  <w:num w:numId="10" w16cid:durableId="1158421525">
    <w:abstractNumId w:val="32"/>
  </w:num>
  <w:num w:numId="11" w16cid:durableId="1831601891">
    <w:abstractNumId w:val="31"/>
  </w:num>
  <w:num w:numId="12" w16cid:durableId="1855025906">
    <w:abstractNumId w:val="24"/>
  </w:num>
  <w:num w:numId="13" w16cid:durableId="618028705">
    <w:abstractNumId w:val="17"/>
  </w:num>
  <w:num w:numId="14" w16cid:durableId="1768578565">
    <w:abstractNumId w:val="3"/>
  </w:num>
  <w:num w:numId="15" w16cid:durableId="1493259132">
    <w:abstractNumId w:val="6"/>
  </w:num>
  <w:num w:numId="16" w16cid:durableId="81724573">
    <w:abstractNumId w:val="27"/>
  </w:num>
  <w:num w:numId="17" w16cid:durableId="996690660">
    <w:abstractNumId w:val="15"/>
  </w:num>
  <w:num w:numId="18" w16cid:durableId="998190182">
    <w:abstractNumId w:val="7"/>
  </w:num>
  <w:num w:numId="19" w16cid:durableId="1253127669">
    <w:abstractNumId w:val="21"/>
  </w:num>
  <w:num w:numId="20" w16cid:durableId="1987469696">
    <w:abstractNumId w:val="40"/>
  </w:num>
  <w:num w:numId="21" w16cid:durableId="79757630">
    <w:abstractNumId w:val="34"/>
  </w:num>
  <w:num w:numId="22" w16cid:durableId="2009824772">
    <w:abstractNumId w:val="18"/>
  </w:num>
  <w:num w:numId="23" w16cid:durableId="1030836436">
    <w:abstractNumId w:val="38"/>
  </w:num>
  <w:num w:numId="24" w16cid:durableId="893740340">
    <w:abstractNumId w:val="20"/>
  </w:num>
  <w:num w:numId="25" w16cid:durableId="589510343">
    <w:abstractNumId w:val="5"/>
  </w:num>
  <w:num w:numId="26" w16cid:durableId="1579746080">
    <w:abstractNumId w:val="10"/>
  </w:num>
  <w:num w:numId="27" w16cid:durableId="1939869285">
    <w:abstractNumId w:val="36"/>
  </w:num>
  <w:num w:numId="28" w16cid:durableId="143546675">
    <w:abstractNumId w:val="33"/>
  </w:num>
  <w:num w:numId="29" w16cid:durableId="669480664">
    <w:abstractNumId w:val="4"/>
  </w:num>
  <w:num w:numId="30" w16cid:durableId="2075541246">
    <w:abstractNumId w:val="16"/>
  </w:num>
  <w:num w:numId="31" w16cid:durableId="769470394">
    <w:abstractNumId w:val="37"/>
  </w:num>
  <w:num w:numId="32" w16cid:durableId="1763070216">
    <w:abstractNumId w:val="8"/>
  </w:num>
  <w:num w:numId="33" w16cid:durableId="272059660">
    <w:abstractNumId w:val="1"/>
  </w:num>
  <w:num w:numId="34" w16cid:durableId="1481847612">
    <w:abstractNumId w:val="0"/>
  </w:num>
  <w:num w:numId="35" w16cid:durableId="726298397">
    <w:abstractNumId w:val="39"/>
  </w:num>
  <w:num w:numId="36" w16cid:durableId="347214474">
    <w:abstractNumId w:val="35"/>
  </w:num>
  <w:num w:numId="37" w16cid:durableId="1578828303">
    <w:abstractNumId w:val="23"/>
  </w:num>
  <w:num w:numId="38" w16cid:durableId="159472495">
    <w:abstractNumId w:val="19"/>
  </w:num>
  <w:num w:numId="39" w16cid:durableId="491873515">
    <w:abstractNumId w:val="26"/>
  </w:num>
  <w:num w:numId="40" w16cid:durableId="1692106229">
    <w:abstractNumId w:val="22"/>
  </w:num>
  <w:num w:numId="41" w16cid:durableId="132258101">
    <w:abstractNumId w:val="2"/>
  </w:num>
  <w:num w:numId="42" w16cid:durableId="1266112827">
    <w:abstractNumId w:val="42"/>
  </w:num>
  <w:num w:numId="43" w16cid:durableId="5083276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91A"/>
    <w:rsid w:val="0000068E"/>
    <w:rsid w:val="000009CE"/>
    <w:rsid w:val="00001F05"/>
    <w:rsid w:val="00004CB9"/>
    <w:rsid w:val="0000597B"/>
    <w:rsid w:val="00005D7F"/>
    <w:rsid w:val="00005F3E"/>
    <w:rsid w:val="000060B4"/>
    <w:rsid w:val="0000715B"/>
    <w:rsid w:val="00007568"/>
    <w:rsid w:val="00010001"/>
    <w:rsid w:val="0001001A"/>
    <w:rsid w:val="00010651"/>
    <w:rsid w:val="00010E70"/>
    <w:rsid w:val="00011114"/>
    <w:rsid w:val="00011B35"/>
    <w:rsid w:val="0001359A"/>
    <w:rsid w:val="00013AC1"/>
    <w:rsid w:val="00014CA4"/>
    <w:rsid w:val="00015389"/>
    <w:rsid w:val="000160EF"/>
    <w:rsid w:val="000166A6"/>
    <w:rsid w:val="000200EE"/>
    <w:rsid w:val="00022741"/>
    <w:rsid w:val="00022D23"/>
    <w:rsid w:val="000245B3"/>
    <w:rsid w:val="00024700"/>
    <w:rsid w:val="000255FF"/>
    <w:rsid w:val="0002565A"/>
    <w:rsid w:val="00027935"/>
    <w:rsid w:val="00027F71"/>
    <w:rsid w:val="00027FB9"/>
    <w:rsid w:val="00031081"/>
    <w:rsid w:val="000319BA"/>
    <w:rsid w:val="00033997"/>
    <w:rsid w:val="000378C4"/>
    <w:rsid w:val="00042D2F"/>
    <w:rsid w:val="0004366B"/>
    <w:rsid w:val="00044A65"/>
    <w:rsid w:val="00045CFF"/>
    <w:rsid w:val="000475DD"/>
    <w:rsid w:val="000509E0"/>
    <w:rsid w:val="000519C1"/>
    <w:rsid w:val="00052DBE"/>
    <w:rsid w:val="00056F4D"/>
    <w:rsid w:val="00057395"/>
    <w:rsid w:val="00060B81"/>
    <w:rsid w:val="00060BE5"/>
    <w:rsid w:val="00061859"/>
    <w:rsid w:val="000623CE"/>
    <w:rsid w:val="000675A7"/>
    <w:rsid w:val="00071316"/>
    <w:rsid w:val="00071F3B"/>
    <w:rsid w:val="00080769"/>
    <w:rsid w:val="00081456"/>
    <w:rsid w:val="00082AB9"/>
    <w:rsid w:val="0008423A"/>
    <w:rsid w:val="00085B1C"/>
    <w:rsid w:val="00085F48"/>
    <w:rsid w:val="00087324"/>
    <w:rsid w:val="00087C23"/>
    <w:rsid w:val="00091A37"/>
    <w:rsid w:val="00092B0F"/>
    <w:rsid w:val="00093424"/>
    <w:rsid w:val="00096238"/>
    <w:rsid w:val="00097429"/>
    <w:rsid w:val="00097804"/>
    <w:rsid w:val="000A15FD"/>
    <w:rsid w:val="000A2495"/>
    <w:rsid w:val="000A676E"/>
    <w:rsid w:val="000A7FF7"/>
    <w:rsid w:val="000B26DD"/>
    <w:rsid w:val="000B2ADC"/>
    <w:rsid w:val="000B6C55"/>
    <w:rsid w:val="000C1936"/>
    <w:rsid w:val="000C461A"/>
    <w:rsid w:val="000C495C"/>
    <w:rsid w:val="000C6400"/>
    <w:rsid w:val="000D0F96"/>
    <w:rsid w:val="000D196D"/>
    <w:rsid w:val="000D20CA"/>
    <w:rsid w:val="000D2306"/>
    <w:rsid w:val="000D27B1"/>
    <w:rsid w:val="000D3540"/>
    <w:rsid w:val="000D5259"/>
    <w:rsid w:val="000D58BF"/>
    <w:rsid w:val="000D7AEF"/>
    <w:rsid w:val="000E085A"/>
    <w:rsid w:val="000E3B59"/>
    <w:rsid w:val="000E45A6"/>
    <w:rsid w:val="000E4B60"/>
    <w:rsid w:val="000E5028"/>
    <w:rsid w:val="000E5085"/>
    <w:rsid w:val="000E5274"/>
    <w:rsid w:val="000E5CE1"/>
    <w:rsid w:val="000E698B"/>
    <w:rsid w:val="000E7011"/>
    <w:rsid w:val="000F2BB8"/>
    <w:rsid w:val="000F3F81"/>
    <w:rsid w:val="000F64BE"/>
    <w:rsid w:val="000F78D0"/>
    <w:rsid w:val="00100205"/>
    <w:rsid w:val="00100343"/>
    <w:rsid w:val="00102A2F"/>
    <w:rsid w:val="00102D1A"/>
    <w:rsid w:val="00104DF9"/>
    <w:rsid w:val="00105618"/>
    <w:rsid w:val="00107D50"/>
    <w:rsid w:val="001106A1"/>
    <w:rsid w:val="0011143E"/>
    <w:rsid w:val="0011149D"/>
    <w:rsid w:val="00111917"/>
    <w:rsid w:val="00112CCE"/>
    <w:rsid w:val="0011559E"/>
    <w:rsid w:val="00120DB7"/>
    <w:rsid w:val="001218E5"/>
    <w:rsid w:val="00122769"/>
    <w:rsid w:val="00130A72"/>
    <w:rsid w:val="00132573"/>
    <w:rsid w:val="00132CF6"/>
    <w:rsid w:val="00135262"/>
    <w:rsid w:val="00135CFD"/>
    <w:rsid w:val="00135E02"/>
    <w:rsid w:val="00140395"/>
    <w:rsid w:val="00140FF7"/>
    <w:rsid w:val="00141790"/>
    <w:rsid w:val="00141D14"/>
    <w:rsid w:val="00143C50"/>
    <w:rsid w:val="00145418"/>
    <w:rsid w:val="00145B34"/>
    <w:rsid w:val="001520A3"/>
    <w:rsid w:val="001609DC"/>
    <w:rsid w:val="00162586"/>
    <w:rsid w:val="0016333C"/>
    <w:rsid w:val="00166DBD"/>
    <w:rsid w:val="001670B0"/>
    <w:rsid w:val="00167547"/>
    <w:rsid w:val="00172960"/>
    <w:rsid w:val="00172DB3"/>
    <w:rsid w:val="00173EA8"/>
    <w:rsid w:val="00175E4A"/>
    <w:rsid w:val="00175FBA"/>
    <w:rsid w:val="00176AE4"/>
    <w:rsid w:val="00182259"/>
    <w:rsid w:val="0018231D"/>
    <w:rsid w:val="001829CA"/>
    <w:rsid w:val="00186218"/>
    <w:rsid w:val="00186850"/>
    <w:rsid w:val="00192224"/>
    <w:rsid w:val="0019273F"/>
    <w:rsid w:val="0019437B"/>
    <w:rsid w:val="00195755"/>
    <w:rsid w:val="00197821"/>
    <w:rsid w:val="001A150C"/>
    <w:rsid w:val="001A1EF5"/>
    <w:rsid w:val="001A3217"/>
    <w:rsid w:val="001A37C0"/>
    <w:rsid w:val="001A4F6F"/>
    <w:rsid w:val="001A58B6"/>
    <w:rsid w:val="001A62B3"/>
    <w:rsid w:val="001B0BEA"/>
    <w:rsid w:val="001B0E84"/>
    <w:rsid w:val="001B2B17"/>
    <w:rsid w:val="001B4ED2"/>
    <w:rsid w:val="001B5C49"/>
    <w:rsid w:val="001C1DCA"/>
    <w:rsid w:val="001C5EB8"/>
    <w:rsid w:val="001C5FC4"/>
    <w:rsid w:val="001C707F"/>
    <w:rsid w:val="001C7B0D"/>
    <w:rsid w:val="001C7DCD"/>
    <w:rsid w:val="001D0438"/>
    <w:rsid w:val="001D1404"/>
    <w:rsid w:val="001D4147"/>
    <w:rsid w:val="001D4A39"/>
    <w:rsid w:val="001D7176"/>
    <w:rsid w:val="001E3E99"/>
    <w:rsid w:val="001E4842"/>
    <w:rsid w:val="001E4E15"/>
    <w:rsid w:val="001E5A4F"/>
    <w:rsid w:val="001E68C6"/>
    <w:rsid w:val="001E708E"/>
    <w:rsid w:val="001F15B5"/>
    <w:rsid w:val="001F18F5"/>
    <w:rsid w:val="001F3EBA"/>
    <w:rsid w:val="001F4ED3"/>
    <w:rsid w:val="001F5D41"/>
    <w:rsid w:val="00200675"/>
    <w:rsid w:val="00203E87"/>
    <w:rsid w:val="002041B9"/>
    <w:rsid w:val="002068C0"/>
    <w:rsid w:val="0020738A"/>
    <w:rsid w:val="00207B2C"/>
    <w:rsid w:val="002100D6"/>
    <w:rsid w:val="00211C27"/>
    <w:rsid w:val="0021241B"/>
    <w:rsid w:val="00212795"/>
    <w:rsid w:val="002140BE"/>
    <w:rsid w:val="002156DD"/>
    <w:rsid w:val="0021572D"/>
    <w:rsid w:val="0021791F"/>
    <w:rsid w:val="00224BFB"/>
    <w:rsid w:val="002256D6"/>
    <w:rsid w:val="002263C9"/>
    <w:rsid w:val="002311CE"/>
    <w:rsid w:val="00233F72"/>
    <w:rsid w:val="00234B3D"/>
    <w:rsid w:val="00236CE5"/>
    <w:rsid w:val="00240412"/>
    <w:rsid w:val="00241164"/>
    <w:rsid w:val="00242B1E"/>
    <w:rsid w:val="0024742A"/>
    <w:rsid w:val="00251266"/>
    <w:rsid w:val="00251F3E"/>
    <w:rsid w:val="002556DE"/>
    <w:rsid w:val="002557E9"/>
    <w:rsid w:val="00257171"/>
    <w:rsid w:val="00257998"/>
    <w:rsid w:val="00257F4A"/>
    <w:rsid w:val="00261D57"/>
    <w:rsid w:val="00263B25"/>
    <w:rsid w:val="00263CF5"/>
    <w:rsid w:val="00266CD9"/>
    <w:rsid w:val="002703E7"/>
    <w:rsid w:val="00271462"/>
    <w:rsid w:val="00271B2C"/>
    <w:rsid w:val="00271D18"/>
    <w:rsid w:val="00272A57"/>
    <w:rsid w:val="00272AFD"/>
    <w:rsid w:val="00272F4B"/>
    <w:rsid w:val="00276860"/>
    <w:rsid w:val="002769C2"/>
    <w:rsid w:val="00276EF5"/>
    <w:rsid w:val="00281E40"/>
    <w:rsid w:val="002828B0"/>
    <w:rsid w:val="00282F9A"/>
    <w:rsid w:val="00285145"/>
    <w:rsid w:val="00286878"/>
    <w:rsid w:val="00286A47"/>
    <w:rsid w:val="0028730A"/>
    <w:rsid w:val="0028783C"/>
    <w:rsid w:val="00287AC6"/>
    <w:rsid w:val="002916FD"/>
    <w:rsid w:val="00292725"/>
    <w:rsid w:val="002930DE"/>
    <w:rsid w:val="0029494B"/>
    <w:rsid w:val="00296590"/>
    <w:rsid w:val="00297D15"/>
    <w:rsid w:val="002A0416"/>
    <w:rsid w:val="002A1155"/>
    <w:rsid w:val="002A1B35"/>
    <w:rsid w:val="002A237B"/>
    <w:rsid w:val="002A45D0"/>
    <w:rsid w:val="002A4CE3"/>
    <w:rsid w:val="002A5A93"/>
    <w:rsid w:val="002A6346"/>
    <w:rsid w:val="002A6B54"/>
    <w:rsid w:val="002A704F"/>
    <w:rsid w:val="002A7736"/>
    <w:rsid w:val="002A7B78"/>
    <w:rsid w:val="002A7EB9"/>
    <w:rsid w:val="002B2198"/>
    <w:rsid w:val="002B49EF"/>
    <w:rsid w:val="002B550C"/>
    <w:rsid w:val="002B58A0"/>
    <w:rsid w:val="002B5EBB"/>
    <w:rsid w:val="002C163C"/>
    <w:rsid w:val="002C24E5"/>
    <w:rsid w:val="002C349F"/>
    <w:rsid w:val="002C3B21"/>
    <w:rsid w:val="002D13DD"/>
    <w:rsid w:val="002D1E78"/>
    <w:rsid w:val="002D349D"/>
    <w:rsid w:val="002D5BEA"/>
    <w:rsid w:val="002D73CD"/>
    <w:rsid w:val="002E019A"/>
    <w:rsid w:val="002E0273"/>
    <w:rsid w:val="002E03B0"/>
    <w:rsid w:val="002E098B"/>
    <w:rsid w:val="002E1D6C"/>
    <w:rsid w:val="002E1EA7"/>
    <w:rsid w:val="002E67C0"/>
    <w:rsid w:val="002F061B"/>
    <w:rsid w:val="002F25EB"/>
    <w:rsid w:val="002F2AA3"/>
    <w:rsid w:val="002F2FEC"/>
    <w:rsid w:val="002F3CD6"/>
    <w:rsid w:val="002F4836"/>
    <w:rsid w:val="002F4AF6"/>
    <w:rsid w:val="002F76ED"/>
    <w:rsid w:val="00300CA3"/>
    <w:rsid w:val="003024E2"/>
    <w:rsid w:val="00303755"/>
    <w:rsid w:val="003040BD"/>
    <w:rsid w:val="00304433"/>
    <w:rsid w:val="003045D1"/>
    <w:rsid w:val="00304D16"/>
    <w:rsid w:val="00305411"/>
    <w:rsid w:val="00306C9C"/>
    <w:rsid w:val="00311986"/>
    <w:rsid w:val="00311EE5"/>
    <w:rsid w:val="003128B1"/>
    <w:rsid w:val="0031294D"/>
    <w:rsid w:val="003132AF"/>
    <w:rsid w:val="00314F22"/>
    <w:rsid w:val="00316831"/>
    <w:rsid w:val="00317975"/>
    <w:rsid w:val="00320A5F"/>
    <w:rsid w:val="003218D1"/>
    <w:rsid w:val="003220EB"/>
    <w:rsid w:val="0032409F"/>
    <w:rsid w:val="00325D94"/>
    <w:rsid w:val="00327287"/>
    <w:rsid w:val="00330F13"/>
    <w:rsid w:val="00332EB7"/>
    <w:rsid w:val="00333AD7"/>
    <w:rsid w:val="00333BB4"/>
    <w:rsid w:val="00335003"/>
    <w:rsid w:val="00335438"/>
    <w:rsid w:val="00336529"/>
    <w:rsid w:val="00336B67"/>
    <w:rsid w:val="00336BCF"/>
    <w:rsid w:val="00337430"/>
    <w:rsid w:val="0034070A"/>
    <w:rsid w:val="00341177"/>
    <w:rsid w:val="003431BB"/>
    <w:rsid w:val="003435DE"/>
    <w:rsid w:val="003457B0"/>
    <w:rsid w:val="00345F95"/>
    <w:rsid w:val="00346438"/>
    <w:rsid w:val="003469BE"/>
    <w:rsid w:val="0035127E"/>
    <w:rsid w:val="00351D8D"/>
    <w:rsid w:val="00352A8B"/>
    <w:rsid w:val="00352DEE"/>
    <w:rsid w:val="00354716"/>
    <w:rsid w:val="00356D2D"/>
    <w:rsid w:val="003605E7"/>
    <w:rsid w:val="00362244"/>
    <w:rsid w:val="00362389"/>
    <w:rsid w:val="00362482"/>
    <w:rsid w:val="00363D43"/>
    <w:rsid w:val="00364E08"/>
    <w:rsid w:val="00366D2E"/>
    <w:rsid w:val="00366F96"/>
    <w:rsid w:val="003673C6"/>
    <w:rsid w:val="00367639"/>
    <w:rsid w:val="003714A3"/>
    <w:rsid w:val="003723F6"/>
    <w:rsid w:val="003738D2"/>
    <w:rsid w:val="0037502D"/>
    <w:rsid w:val="00376F49"/>
    <w:rsid w:val="00380EFF"/>
    <w:rsid w:val="00380FC5"/>
    <w:rsid w:val="0038169F"/>
    <w:rsid w:val="003823FA"/>
    <w:rsid w:val="0038314E"/>
    <w:rsid w:val="003838F8"/>
    <w:rsid w:val="003849DB"/>
    <w:rsid w:val="00384E6F"/>
    <w:rsid w:val="003853AA"/>
    <w:rsid w:val="003877F2"/>
    <w:rsid w:val="0039049E"/>
    <w:rsid w:val="0039497C"/>
    <w:rsid w:val="00394A86"/>
    <w:rsid w:val="0039730E"/>
    <w:rsid w:val="003A03AA"/>
    <w:rsid w:val="003A0F2D"/>
    <w:rsid w:val="003A1F54"/>
    <w:rsid w:val="003A3BEB"/>
    <w:rsid w:val="003A4051"/>
    <w:rsid w:val="003B3AD0"/>
    <w:rsid w:val="003B3E6A"/>
    <w:rsid w:val="003B45F3"/>
    <w:rsid w:val="003B5645"/>
    <w:rsid w:val="003B626A"/>
    <w:rsid w:val="003C078A"/>
    <w:rsid w:val="003C084C"/>
    <w:rsid w:val="003C3268"/>
    <w:rsid w:val="003C521C"/>
    <w:rsid w:val="003D0AE8"/>
    <w:rsid w:val="003D1F7B"/>
    <w:rsid w:val="003D28BD"/>
    <w:rsid w:val="003D2FD6"/>
    <w:rsid w:val="003D49EF"/>
    <w:rsid w:val="003D6B1B"/>
    <w:rsid w:val="003D6DD2"/>
    <w:rsid w:val="003E2BA8"/>
    <w:rsid w:val="003E7667"/>
    <w:rsid w:val="003F04CE"/>
    <w:rsid w:val="003F09CE"/>
    <w:rsid w:val="003F0F16"/>
    <w:rsid w:val="003F1593"/>
    <w:rsid w:val="003F400F"/>
    <w:rsid w:val="003F541D"/>
    <w:rsid w:val="003F5528"/>
    <w:rsid w:val="003F56D3"/>
    <w:rsid w:val="003F7541"/>
    <w:rsid w:val="004001A8"/>
    <w:rsid w:val="004038AB"/>
    <w:rsid w:val="004045A2"/>
    <w:rsid w:val="00404EE0"/>
    <w:rsid w:val="0040534B"/>
    <w:rsid w:val="004055C3"/>
    <w:rsid w:val="004063B6"/>
    <w:rsid w:val="0040677C"/>
    <w:rsid w:val="00406CEC"/>
    <w:rsid w:val="00407689"/>
    <w:rsid w:val="0041034F"/>
    <w:rsid w:val="00411360"/>
    <w:rsid w:val="00421BD4"/>
    <w:rsid w:val="00422D33"/>
    <w:rsid w:val="00425DF4"/>
    <w:rsid w:val="00426A4C"/>
    <w:rsid w:val="00432633"/>
    <w:rsid w:val="00433281"/>
    <w:rsid w:val="00437B3F"/>
    <w:rsid w:val="00437E31"/>
    <w:rsid w:val="00441328"/>
    <w:rsid w:val="00442401"/>
    <w:rsid w:val="0044461C"/>
    <w:rsid w:val="00445171"/>
    <w:rsid w:val="00445C4F"/>
    <w:rsid w:val="00450101"/>
    <w:rsid w:val="004501A1"/>
    <w:rsid w:val="0045077D"/>
    <w:rsid w:val="0045155E"/>
    <w:rsid w:val="00455F43"/>
    <w:rsid w:val="00456713"/>
    <w:rsid w:val="004620E3"/>
    <w:rsid w:val="00465B37"/>
    <w:rsid w:val="00466998"/>
    <w:rsid w:val="00467383"/>
    <w:rsid w:val="00471441"/>
    <w:rsid w:val="00473A04"/>
    <w:rsid w:val="004746D3"/>
    <w:rsid w:val="004748EE"/>
    <w:rsid w:val="00474BBA"/>
    <w:rsid w:val="0047509A"/>
    <w:rsid w:val="0047519B"/>
    <w:rsid w:val="00475CB8"/>
    <w:rsid w:val="004800A5"/>
    <w:rsid w:val="004839ED"/>
    <w:rsid w:val="004849DA"/>
    <w:rsid w:val="00484BE3"/>
    <w:rsid w:val="0049089E"/>
    <w:rsid w:val="00493705"/>
    <w:rsid w:val="00493E53"/>
    <w:rsid w:val="00494296"/>
    <w:rsid w:val="00494A38"/>
    <w:rsid w:val="00494E0A"/>
    <w:rsid w:val="00495E04"/>
    <w:rsid w:val="00495FF0"/>
    <w:rsid w:val="00496CF1"/>
    <w:rsid w:val="004976A2"/>
    <w:rsid w:val="004A1659"/>
    <w:rsid w:val="004A1889"/>
    <w:rsid w:val="004A42CB"/>
    <w:rsid w:val="004A6061"/>
    <w:rsid w:val="004A74C0"/>
    <w:rsid w:val="004A7509"/>
    <w:rsid w:val="004B091A"/>
    <w:rsid w:val="004B2305"/>
    <w:rsid w:val="004B3305"/>
    <w:rsid w:val="004B5429"/>
    <w:rsid w:val="004B5E5C"/>
    <w:rsid w:val="004B604F"/>
    <w:rsid w:val="004B60BF"/>
    <w:rsid w:val="004C0B0A"/>
    <w:rsid w:val="004C1866"/>
    <w:rsid w:val="004C2041"/>
    <w:rsid w:val="004C22A3"/>
    <w:rsid w:val="004C2B2E"/>
    <w:rsid w:val="004C322D"/>
    <w:rsid w:val="004C38DC"/>
    <w:rsid w:val="004C3BC8"/>
    <w:rsid w:val="004C4A44"/>
    <w:rsid w:val="004C4C6C"/>
    <w:rsid w:val="004C6D70"/>
    <w:rsid w:val="004C71FE"/>
    <w:rsid w:val="004C7992"/>
    <w:rsid w:val="004C7DD2"/>
    <w:rsid w:val="004D01C6"/>
    <w:rsid w:val="004D0E8F"/>
    <w:rsid w:val="004D2ED0"/>
    <w:rsid w:val="004D2F62"/>
    <w:rsid w:val="004D5B1B"/>
    <w:rsid w:val="004D6229"/>
    <w:rsid w:val="004D7885"/>
    <w:rsid w:val="004E165E"/>
    <w:rsid w:val="004E2141"/>
    <w:rsid w:val="004E58F2"/>
    <w:rsid w:val="004E747C"/>
    <w:rsid w:val="004F0FF1"/>
    <w:rsid w:val="004F294D"/>
    <w:rsid w:val="004F2C5B"/>
    <w:rsid w:val="004F40A9"/>
    <w:rsid w:val="004F4692"/>
    <w:rsid w:val="004F46B9"/>
    <w:rsid w:val="004F4BE0"/>
    <w:rsid w:val="004F6F74"/>
    <w:rsid w:val="00502A21"/>
    <w:rsid w:val="0050335B"/>
    <w:rsid w:val="00503722"/>
    <w:rsid w:val="005043C5"/>
    <w:rsid w:val="005046C2"/>
    <w:rsid w:val="00505608"/>
    <w:rsid w:val="00506E89"/>
    <w:rsid w:val="005100DF"/>
    <w:rsid w:val="00512D11"/>
    <w:rsid w:val="00513BD7"/>
    <w:rsid w:val="005145AA"/>
    <w:rsid w:val="00514DE2"/>
    <w:rsid w:val="005155A4"/>
    <w:rsid w:val="005155E5"/>
    <w:rsid w:val="00520287"/>
    <w:rsid w:val="005215D7"/>
    <w:rsid w:val="00521A8D"/>
    <w:rsid w:val="00523136"/>
    <w:rsid w:val="00523237"/>
    <w:rsid w:val="00525BD4"/>
    <w:rsid w:val="00527F6B"/>
    <w:rsid w:val="0053478F"/>
    <w:rsid w:val="00536534"/>
    <w:rsid w:val="00540871"/>
    <w:rsid w:val="00541DB3"/>
    <w:rsid w:val="005447F4"/>
    <w:rsid w:val="0055183F"/>
    <w:rsid w:val="00551D6D"/>
    <w:rsid w:val="0055288B"/>
    <w:rsid w:val="00554141"/>
    <w:rsid w:val="005542D7"/>
    <w:rsid w:val="00554BF2"/>
    <w:rsid w:val="00557F49"/>
    <w:rsid w:val="00561912"/>
    <w:rsid w:val="00561D14"/>
    <w:rsid w:val="00561E94"/>
    <w:rsid w:val="00562C90"/>
    <w:rsid w:val="00563FBE"/>
    <w:rsid w:val="00565604"/>
    <w:rsid w:val="00566B56"/>
    <w:rsid w:val="0056740A"/>
    <w:rsid w:val="005700AD"/>
    <w:rsid w:val="00573AC6"/>
    <w:rsid w:val="00574BDA"/>
    <w:rsid w:val="005841BB"/>
    <w:rsid w:val="005841EE"/>
    <w:rsid w:val="0058453B"/>
    <w:rsid w:val="00584B51"/>
    <w:rsid w:val="005879C9"/>
    <w:rsid w:val="00590297"/>
    <w:rsid w:val="00595388"/>
    <w:rsid w:val="00596009"/>
    <w:rsid w:val="00596E26"/>
    <w:rsid w:val="00596E52"/>
    <w:rsid w:val="005978A7"/>
    <w:rsid w:val="005A031A"/>
    <w:rsid w:val="005A109B"/>
    <w:rsid w:val="005A1EFB"/>
    <w:rsid w:val="005A2121"/>
    <w:rsid w:val="005A458B"/>
    <w:rsid w:val="005A6E46"/>
    <w:rsid w:val="005A6E5C"/>
    <w:rsid w:val="005B0DC2"/>
    <w:rsid w:val="005B1818"/>
    <w:rsid w:val="005B2776"/>
    <w:rsid w:val="005B2F3A"/>
    <w:rsid w:val="005B559F"/>
    <w:rsid w:val="005B5C7B"/>
    <w:rsid w:val="005B60A3"/>
    <w:rsid w:val="005B7017"/>
    <w:rsid w:val="005C0281"/>
    <w:rsid w:val="005C1F93"/>
    <w:rsid w:val="005C3E69"/>
    <w:rsid w:val="005C50F8"/>
    <w:rsid w:val="005C5AFA"/>
    <w:rsid w:val="005C6AD3"/>
    <w:rsid w:val="005C76AA"/>
    <w:rsid w:val="005C782E"/>
    <w:rsid w:val="005D1FA7"/>
    <w:rsid w:val="005D2B6B"/>
    <w:rsid w:val="005D2DB8"/>
    <w:rsid w:val="005D328B"/>
    <w:rsid w:val="005D5A08"/>
    <w:rsid w:val="005D6612"/>
    <w:rsid w:val="005D6D31"/>
    <w:rsid w:val="005E0E3F"/>
    <w:rsid w:val="005E22DC"/>
    <w:rsid w:val="005E4843"/>
    <w:rsid w:val="005E5C75"/>
    <w:rsid w:val="005E6E12"/>
    <w:rsid w:val="005F139C"/>
    <w:rsid w:val="005F189B"/>
    <w:rsid w:val="005F25D2"/>
    <w:rsid w:val="005F2EED"/>
    <w:rsid w:val="005F6B91"/>
    <w:rsid w:val="005F6BDD"/>
    <w:rsid w:val="0060054E"/>
    <w:rsid w:val="00603294"/>
    <w:rsid w:val="00605115"/>
    <w:rsid w:val="00605562"/>
    <w:rsid w:val="0060567B"/>
    <w:rsid w:val="0060779C"/>
    <w:rsid w:val="00611B61"/>
    <w:rsid w:val="00612F35"/>
    <w:rsid w:val="00612F3F"/>
    <w:rsid w:val="00613572"/>
    <w:rsid w:val="006135D2"/>
    <w:rsid w:val="0061431A"/>
    <w:rsid w:val="00614C35"/>
    <w:rsid w:val="00617296"/>
    <w:rsid w:val="006206AC"/>
    <w:rsid w:val="00620E3B"/>
    <w:rsid w:val="006232BC"/>
    <w:rsid w:val="006263AE"/>
    <w:rsid w:val="00626646"/>
    <w:rsid w:val="00627DC8"/>
    <w:rsid w:val="0063155F"/>
    <w:rsid w:val="006366F9"/>
    <w:rsid w:val="006373FB"/>
    <w:rsid w:val="00640709"/>
    <w:rsid w:val="00640B55"/>
    <w:rsid w:val="006431CD"/>
    <w:rsid w:val="0064639A"/>
    <w:rsid w:val="00650E2B"/>
    <w:rsid w:val="0065529A"/>
    <w:rsid w:val="006601AA"/>
    <w:rsid w:val="0066547B"/>
    <w:rsid w:val="00665CE1"/>
    <w:rsid w:val="00667ECE"/>
    <w:rsid w:val="00671149"/>
    <w:rsid w:val="00673CB1"/>
    <w:rsid w:val="00682614"/>
    <w:rsid w:val="006839B0"/>
    <w:rsid w:val="00685612"/>
    <w:rsid w:val="00685EED"/>
    <w:rsid w:val="00686FCF"/>
    <w:rsid w:val="00690FF2"/>
    <w:rsid w:val="006921A6"/>
    <w:rsid w:val="0069281E"/>
    <w:rsid w:val="0069294A"/>
    <w:rsid w:val="00692961"/>
    <w:rsid w:val="00692C44"/>
    <w:rsid w:val="00694E25"/>
    <w:rsid w:val="006954BB"/>
    <w:rsid w:val="0069645B"/>
    <w:rsid w:val="00697474"/>
    <w:rsid w:val="006A0290"/>
    <w:rsid w:val="006A300F"/>
    <w:rsid w:val="006A4345"/>
    <w:rsid w:val="006A55A4"/>
    <w:rsid w:val="006A69B5"/>
    <w:rsid w:val="006A7CA4"/>
    <w:rsid w:val="006B6475"/>
    <w:rsid w:val="006C197C"/>
    <w:rsid w:val="006C25ED"/>
    <w:rsid w:val="006C406B"/>
    <w:rsid w:val="006C419F"/>
    <w:rsid w:val="006C5822"/>
    <w:rsid w:val="006C6C11"/>
    <w:rsid w:val="006C7710"/>
    <w:rsid w:val="006D000D"/>
    <w:rsid w:val="006D088A"/>
    <w:rsid w:val="006D1D81"/>
    <w:rsid w:val="006D285E"/>
    <w:rsid w:val="006D33FD"/>
    <w:rsid w:val="006D5309"/>
    <w:rsid w:val="006D5785"/>
    <w:rsid w:val="006D70D9"/>
    <w:rsid w:val="006D765D"/>
    <w:rsid w:val="006D7C01"/>
    <w:rsid w:val="006D7DC1"/>
    <w:rsid w:val="006E0379"/>
    <w:rsid w:val="006E040D"/>
    <w:rsid w:val="006E3BCE"/>
    <w:rsid w:val="006E3F8D"/>
    <w:rsid w:val="006E5102"/>
    <w:rsid w:val="006E66C6"/>
    <w:rsid w:val="006E6DFD"/>
    <w:rsid w:val="006E72C7"/>
    <w:rsid w:val="006F0169"/>
    <w:rsid w:val="006F0F42"/>
    <w:rsid w:val="006F1DE8"/>
    <w:rsid w:val="006F28A3"/>
    <w:rsid w:val="006F3D45"/>
    <w:rsid w:val="006F5333"/>
    <w:rsid w:val="006F7E12"/>
    <w:rsid w:val="00700D8D"/>
    <w:rsid w:val="0070110D"/>
    <w:rsid w:val="0070203D"/>
    <w:rsid w:val="007049E0"/>
    <w:rsid w:val="00705028"/>
    <w:rsid w:val="00705C4A"/>
    <w:rsid w:val="007062E4"/>
    <w:rsid w:val="007065AE"/>
    <w:rsid w:val="0071243F"/>
    <w:rsid w:val="007133BB"/>
    <w:rsid w:val="00715F21"/>
    <w:rsid w:val="0072033A"/>
    <w:rsid w:val="00720789"/>
    <w:rsid w:val="007222D3"/>
    <w:rsid w:val="00724990"/>
    <w:rsid w:val="00724A4D"/>
    <w:rsid w:val="0072568D"/>
    <w:rsid w:val="00725C68"/>
    <w:rsid w:val="0072610B"/>
    <w:rsid w:val="007267E0"/>
    <w:rsid w:val="007270C9"/>
    <w:rsid w:val="00730773"/>
    <w:rsid w:val="00733009"/>
    <w:rsid w:val="00734071"/>
    <w:rsid w:val="00734B9A"/>
    <w:rsid w:val="00735DED"/>
    <w:rsid w:val="00736A14"/>
    <w:rsid w:val="00737299"/>
    <w:rsid w:val="007372E2"/>
    <w:rsid w:val="00737EC5"/>
    <w:rsid w:val="0074085A"/>
    <w:rsid w:val="00744299"/>
    <w:rsid w:val="007462D5"/>
    <w:rsid w:val="00746977"/>
    <w:rsid w:val="0075237C"/>
    <w:rsid w:val="0075272A"/>
    <w:rsid w:val="00753865"/>
    <w:rsid w:val="00755DDD"/>
    <w:rsid w:val="007564DE"/>
    <w:rsid w:val="0075668E"/>
    <w:rsid w:val="0075690F"/>
    <w:rsid w:val="007572E5"/>
    <w:rsid w:val="00762B7A"/>
    <w:rsid w:val="00764562"/>
    <w:rsid w:val="00765CFA"/>
    <w:rsid w:val="00766B8A"/>
    <w:rsid w:val="00767E07"/>
    <w:rsid w:val="0077094B"/>
    <w:rsid w:val="00770FFF"/>
    <w:rsid w:val="00771376"/>
    <w:rsid w:val="007725D6"/>
    <w:rsid w:val="00775BD4"/>
    <w:rsid w:val="0077738A"/>
    <w:rsid w:val="00777B86"/>
    <w:rsid w:val="00777D57"/>
    <w:rsid w:val="00780FD7"/>
    <w:rsid w:val="007814C5"/>
    <w:rsid w:val="007875EA"/>
    <w:rsid w:val="00793A77"/>
    <w:rsid w:val="00795C43"/>
    <w:rsid w:val="007A0701"/>
    <w:rsid w:val="007A0BBC"/>
    <w:rsid w:val="007A1941"/>
    <w:rsid w:val="007A39C9"/>
    <w:rsid w:val="007A426B"/>
    <w:rsid w:val="007A6CA5"/>
    <w:rsid w:val="007B03F9"/>
    <w:rsid w:val="007B23E1"/>
    <w:rsid w:val="007B3620"/>
    <w:rsid w:val="007B5E0E"/>
    <w:rsid w:val="007C0FE7"/>
    <w:rsid w:val="007C1099"/>
    <w:rsid w:val="007C1342"/>
    <w:rsid w:val="007C1C4D"/>
    <w:rsid w:val="007C2BAE"/>
    <w:rsid w:val="007C31CB"/>
    <w:rsid w:val="007C5A9C"/>
    <w:rsid w:val="007C798F"/>
    <w:rsid w:val="007D035F"/>
    <w:rsid w:val="007D053D"/>
    <w:rsid w:val="007D0E83"/>
    <w:rsid w:val="007D11E5"/>
    <w:rsid w:val="007D2B65"/>
    <w:rsid w:val="007E2A59"/>
    <w:rsid w:val="007E55B5"/>
    <w:rsid w:val="007E590A"/>
    <w:rsid w:val="007E688F"/>
    <w:rsid w:val="007E6B1C"/>
    <w:rsid w:val="007E6F71"/>
    <w:rsid w:val="007F084C"/>
    <w:rsid w:val="007F0FBB"/>
    <w:rsid w:val="007F1AF2"/>
    <w:rsid w:val="007F1BC3"/>
    <w:rsid w:val="007F2BAE"/>
    <w:rsid w:val="007F6C81"/>
    <w:rsid w:val="008011F4"/>
    <w:rsid w:val="008021B8"/>
    <w:rsid w:val="008030D4"/>
    <w:rsid w:val="008031BE"/>
    <w:rsid w:val="008034F7"/>
    <w:rsid w:val="00803B6B"/>
    <w:rsid w:val="00804D1A"/>
    <w:rsid w:val="00804D4F"/>
    <w:rsid w:val="00804F6A"/>
    <w:rsid w:val="0080568E"/>
    <w:rsid w:val="008061B4"/>
    <w:rsid w:val="00806509"/>
    <w:rsid w:val="0081054D"/>
    <w:rsid w:val="00810E7C"/>
    <w:rsid w:val="00811EB8"/>
    <w:rsid w:val="00812931"/>
    <w:rsid w:val="008152A2"/>
    <w:rsid w:val="00816608"/>
    <w:rsid w:val="0081721C"/>
    <w:rsid w:val="00820F83"/>
    <w:rsid w:val="00821028"/>
    <w:rsid w:val="00824D11"/>
    <w:rsid w:val="0083033F"/>
    <w:rsid w:val="00830958"/>
    <w:rsid w:val="00830BC8"/>
    <w:rsid w:val="008312CC"/>
    <w:rsid w:val="008313A0"/>
    <w:rsid w:val="00832492"/>
    <w:rsid w:val="00832FDC"/>
    <w:rsid w:val="0083357A"/>
    <w:rsid w:val="00833C6E"/>
    <w:rsid w:val="00836C0F"/>
    <w:rsid w:val="0084100A"/>
    <w:rsid w:val="00842B57"/>
    <w:rsid w:val="00843F00"/>
    <w:rsid w:val="00844CB5"/>
    <w:rsid w:val="00844DDC"/>
    <w:rsid w:val="00851093"/>
    <w:rsid w:val="00851C9E"/>
    <w:rsid w:val="00852B65"/>
    <w:rsid w:val="00853212"/>
    <w:rsid w:val="00861BD1"/>
    <w:rsid w:val="008627C9"/>
    <w:rsid w:val="008636F9"/>
    <w:rsid w:val="0086422C"/>
    <w:rsid w:val="00865082"/>
    <w:rsid w:val="00865DFD"/>
    <w:rsid w:val="0087226B"/>
    <w:rsid w:val="00873CC8"/>
    <w:rsid w:val="00873F14"/>
    <w:rsid w:val="0087436C"/>
    <w:rsid w:val="00880370"/>
    <w:rsid w:val="00881E3A"/>
    <w:rsid w:val="00883631"/>
    <w:rsid w:val="0088550D"/>
    <w:rsid w:val="00885949"/>
    <w:rsid w:val="00886C51"/>
    <w:rsid w:val="008872A8"/>
    <w:rsid w:val="00887831"/>
    <w:rsid w:val="00887834"/>
    <w:rsid w:val="00890754"/>
    <w:rsid w:val="00890B70"/>
    <w:rsid w:val="008A044C"/>
    <w:rsid w:val="008A12CF"/>
    <w:rsid w:val="008A31C4"/>
    <w:rsid w:val="008A3863"/>
    <w:rsid w:val="008A65C1"/>
    <w:rsid w:val="008A6C98"/>
    <w:rsid w:val="008A79FB"/>
    <w:rsid w:val="008B6468"/>
    <w:rsid w:val="008B7E32"/>
    <w:rsid w:val="008C0D87"/>
    <w:rsid w:val="008C2A78"/>
    <w:rsid w:val="008C3594"/>
    <w:rsid w:val="008C710A"/>
    <w:rsid w:val="008D03AD"/>
    <w:rsid w:val="008D4A32"/>
    <w:rsid w:val="008E17B1"/>
    <w:rsid w:val="008E1944"/>
    <w:rsid w:val="008E21E4"/>
    <w:rsid w:val="008E26C0"/>
    <w:rsid w:val="008E3069"/>
    <w:rsid w:val="008E3073"/>
    <w:rsid w:val="008E49B2"/>
    <w:rsid w:val="008E73A6"/>
    <w:rsid w:val="008F1561"/>
    <w:rsid w:val="008F4173"/>
    <w:rsid w:val="008F4DD1"/>
    <w:rsid w:val="008F52E7"/>
    <w:rsid w:val="008F5958"/>
    <w:rsid w:val="008F69DB"/>
    <w:rsid w:val="008F6CD2"/>
    <w:rsid w:val="008F7A70"/>
    <w:rsid w:val="00900F9A"/>
    <w:rsid w:val="0090107E"/>
    <w:rsid w:val="00901E62"/>
    <w:rsid w:val="00902928"/>
    <w:rsid w:val="00903AB7"/>
    <w:rsid w:val="009045F0"/>
    <w:rsid w:val="00906E2A"/>
    <w:rsid w:val="009109B6"/>
    <w:rsid w:val="00912C0F"/>
    <w:rsid w:val="0091305F"/>
    <w:rsid w:val="00913F5E"/>
    <w:rsid w:val="0091589B"/>
    <w:rsid w:val="0091610A"/>
    <w:rsid w:val="0092152A"/>
    <w:rsid w:val="00921F7B"/>
    <w:rsid w:val="00921FEF"/>
    <w:rsid w:val="00926C71"/>
    <w:rsid w:val="009302FE"/>
    <w:rsid w:val="00930911"/>
    <w:rsid w:val="009314DA"/>
    <w:rsid w:val="009322E7"/>
    <w:rsid w:val="009366D2"/>
    <w:rsid w:val="0093700C"/>
    <w:rsid w:val="009375A0"/>
    <w:rsid w:val="009379F1"/>
    <w:rsid w:val="00940986"/>
    <w:rsid w:val="00942B82"/>
    <w:rsid w:val="00943205"/>
    <w:rsid w:val="00943545"/>
    <w:rsid w:val="00943B25"/>
    <w:rsid w:val="0095278C"/>
    <w:rsid w:val="00952DEB"/>
    <w:rsid w:val="00952FF0"/>
    <w:rsid w:val="009537B5"/>
    <w:rsid w:val="00956D32"/>
    <w:rsid w:val="00957492"/>
    <w:rsid w:val="0095796D"/>
    <w:rsid w:val="00961423"/>
    <w:rsid w:val="00963040"/>
    <w:rsid w:val="0096379C"/>
    <w:rsid w:val="00964988"/>
    <w:rsid w:val="00964FDF"/>
    <w:rsid w:val="00966114"/>
    <w:rsid w:val="00966C69"/>
    <w:rsid w:val="00966E7B"/>
    <w:rsid w:val="009719A8"/>
    <w:rsid w:val="009732E2"/>
    <w:rsid w:val="00973586"/>
    <w:rsid w:val="00973F4F"/>
    <w:rsid w:val="00975811"/>
    <w:rsid w:val="009761B0"/>
    <w:rsid w:val="0097725F"/>
    <w:rsid w:val="00977270"/>
    <w:rsid w:val="00981514"/>
    <w:rsid w:val="00981F53"/>
    <w:rsid w:val="00983937"/>
    <w:rsid w:val="009839EA"/>
    <w:rsid w:val="009846E3"/>
    <w:rsid w:val="00986250"/>
    <w:rsid w:val="00987C2B"/>
    <w:rsid w:val="009902EB"/>
    <w:rsid w:val="00990CF0"/>
    <w:rsid w:val="0099149E"/>
    <w:rsid w:val="00991DD7"/>
    <w:rsid w:val="00992FF0"/>
    <w:rsid w:val="0099338F"/>
    <w:rsid w:val="0099384B"/>
    <w:rsid w:val="00994C1E"/>
    <w:rsid w:val="009952EF"/>
    <w:rsid w:val="009966BB"/>
    <w:rsid w:val="009967EB"/>
    <w:rsid w:val="009A0242"/>
    <w:rsid w:val="009A1A6B"/>
    <w:rsid w:val="009A22A3"/>
    <w:rsid w:val="009A38A3"/>
    <w:rsid w:val="009A3C8D"/>
    <w:rsid w:val="009A58FC"/>
    <w:rsid w:val="009B1616"/>
    <w:rsid w:val="009B30BB"/>
    <w:rsid w:val="009B4835"/>
    <w:rsid w:val="009B5509"/>
    <w:rsid w:val="009C067A"/>
    <w:rsid w:val="009C0894"/>
    <w:rsid w:val="009C3557"/>
    <w:rsid w:val="009C66F8"/>
    <w:rsid w:val="009D0587"/>
    <w:rsid w:val="009D163E"/>
    <w:rsid w:val="009D4CB4"/>
    <w:rsid w:val="009D53D2"/>
    <w:rsid w:val="009D5ECC"/>
    <w:rsid w:val="009D61F4"/>
    <w:rsid w:val="009D6322"/>
    <w:rsid w:val="009E0904"/>
    <w:rsid w:val="009E2A8C"/>
    <w:rsid w:val="009E7F59"/>
    <w:rsid w:val="009F0308"/>
    <w:rsid w:val="009F130C"/>
    <w:rsid w:val="009F252A"/>
    <w:rsid w:val="009F3285"/>
    <w:rsid w:val="009F66E9"/>
    <w:rsid w:val="009F7E48"/>
    <w:rsid w:val="00A00083"/>
    <w:rsid w:val="00A023D2"/>
    <w:rsid w:val="00A07737"/>
    <w:rsid w:val="00A10154"/>
    <w:rsid w:val="00A11F84"/>
    <w:rsid w:val="00A12225"/>
    <w:rsid w:val="00A12733"/>
    <w:rsid w:val="00A131C3"/>
    <w:rsid w:val="00A13727"/>
    <w:rsid w:val="00A147F9"/>
    <w:rsid w:val="00A17EBF"/>
    <w:rsid w:val="00A21832"/>
    <w:rsid w:val="00A219DB"/>
    <w:rsid w:val="00A21E4E"/>
    <w:rsid w:val="00A23119"/>
    <w:rsid w:val="00A241DC"/>
    <w:rsid w:val="00A2460C"/>
    <w:rsid w:val="00A2525F"/>
    <w:rsid w:val="00A265D5"/>
    <w:rsid w:val="00A27898"/>
    <w:rsid w:val="00A30C3D"/>
    <w:rsid w:val="00A30C8C"/>
    <w:rsid w:val="00A326F4"/>
    <w:rsid w:val="00A33740"/>
    <w:rsid w:val="00A35A6C"/>
    <w:rsid w:val="00A42825"/>
    <w:rsid w:val="00A43CF9"/>
    <w:rsid w:val="00A464C4"/>
    <w:rsid w:val="00A4699D"/>
    <w:rsid w:val="00A46AB4"/>
    <w:rsid w:val="00A4740D"/>
    <w:rsid w:val="00A47D71"/>
    <w:rsid w:val="00A5038E"/>
    <w:rsid w:val="00A509B7"/>
    <w:rsid w:val="00A525C1"/>
    <w:rsid w:val="00A526DD"/>
    <w:rsid w:val="00A53D3F"/>
    <w:rsid w:val="00A54AAF"/>
    <w:rsid w:val="00A54E1B"/>
    <w:rsid w:val="00A5570C"/>
    <w:rsid w:val="00A55963"/>
    <w:rsid w:val="00A577FB"/>
    <w:rsid w:val="00A60022"/>
    <w:rsid w:val="00A60CF5"/>
    <w:rsid w:val="00A6117D"/>
    <w:rsid w:val="00A6145B"/>
    <w:rsid w:val="00A6174C"/>
    <w:rsid w:val="00A61DC6"/>
    <w:rsid w:val="00A63D7D"/>
    <w:rsid w:val="00A64183"/>
    <w:rsid w:val="00A64EB2"/>
    <w:rsid w:val="00A654FB"/>
    <w:rsid w:val="00A656B3"/>
    <w:rsid w:val="00A672A8"/>
    <w:rsid w:val="00A67871"/>
    <w:rsid w:val="00A719FE"/>
    <w:rsid w:val="00A721CC"/>
    <w:rsid w:val="00A72BD6"/>
    <w:rsid w:val="00A72F81"/>
    <w:rsid w:val="00A74075"/>
    <w:rsid w:val="00A74441"/>
    <w:rsid w:val="00A7507A"/>
    <w:rsid w:val="00A80B16"/>
    <w:rsid w:val="00A80C0C"/>
    <w:rsid w:val="00A815FA"/>
    <w:rsid w:val="00A82528"/>
    <w:rsid w:val="00A83AC8"/>
    <w:rsid w:val="00A853AF"/>
    <w:rsid w:val="00A87970"/>
    <w:rsid w:val="00A90CB7"/>
    <w:rsid w:val="00A9123A"/>
    <w:rsid w:val="00A97216"/>
    <w:rsid w:val="00AA0905"/>
    <w:rsid w:val="00AA1CC5"/>
    <w:rsid w:val="00AA243E"/>
    <w:rsid w:val="00AA25A8"/>
    <w:rsid w:val="00AA2AEC"/>
    <w:rsid w:val="00AA32BC"/>
    <w:rsid w:val="00AA4F20"/>
    <w:rsid w:val="00AA6E2D"/>
    <w:rsid w:val="00AB08F3"/>
    <w:rsid w:val="00AB2A55"/>
    <w:rsid w:val="00AB3D0B"/>
    <w:rsid w:val="00AB4462"/>
    <w:rsid w:val="00AB4932"/>
    <w:rsid w:val="00AB525B"/>
    <w:rsid w:val="00AC1408"/>
    <w:rsid w:val="00AC26D5"/>
    <w:rsid w:val="00AC2AE2"/>
    <w:rsid w:val="00AC53BB"/>
    <w:rsid w:val="00AC5CA7"/>
    <w:rsid w:val="00AD22C2"/>
    <w:rsid w:val="00AD489B"/>
    <w:rsid w:val="00AD499C"/>
    <w:rsid w:val="00AD5460"/>
    <w:rsid w:val="00AE06E2"/>
    <w:rsid w:val="00AE1AC0"/>
    <w:rsid w:val="00AE1E5A"/>
    <w:rsid w:val="00AE4151"/>
    <w:rsid w:val="00AE48BD"/>
    <w:rsid w:val="00AE4926"/>
    <w:rsid w:val="00AE4C09"/>
    <w:rsid w:val="00AE56F9"/>
    <w:rsid w:val="00AF02AF"/>
    <w:rsid w:val="00AF3A9B"/>
    <w:rsid w:val="00AF4B46"/>
    <w:rsid w:val="00AF549B"/>
    <w:rsid w:val="00B001CF"/>
    <w:rsid w:val="00B0285E"/>
    <w:rsid w:val="00B02EF3"/>
    <w:rsid w:val="00B03860"/>
    <w:rsid w:val="00B03FAC"/>
    <w:rsid w:val="00B05728"/>
    <w:rsid w:val="00B07172"/>
    <w:rsid w:val="00B072C1"/>
    <w:rsid w:val="00B07764"/>
    <w:rsid w:val="00B12CAA"/>
    <w:rsid w:val="00B13206"/>
    <w:rsid w:val="00B14C19"/>
    <w:rsid w:val="00B16406"/>
    <w:rsid w:val="00B16D06"/>
    <w:rsid w:val="00B17980"/>
    <w:rsid w:val="00B225DF"/>
    <w:rsid w:val="00B23550"/>
    <w:rsid w:val="00B23F80"/>
    <w:rsid w:val="00B274A7"/>
    <w:rsid w:val="00B27554"/>
    <w:rsid w:val="00B311A4"/>
    <w:rsid w:val="00B363F1"/>
    <w:rsid w:val="00B3791B"/>
    <w:rsid w:val="00B40660"/>
    <w:rsid w:val="00B433E3"/>
    <w:rsid w:val="00B43783"/>
    <w:rsid w:val="00B44546"/>
    <w:rsid w:val="00B44AA0"/>
    <w:rsid w:val="00B4555D"/>
    <w:rsid w:val="00B472B2"/>
    <w:rsid w:val="00B50775"/>
    <w:rsid w:val="00B508B5"/>
    <w:rsid w:val="00B52763"/>
    <w:rsid w:val="00B5317F"/>
    <w:rsid w:val="00B565C4"/>
    <w:rsid w:val="00B57580"/>
    <w:rsid w:val="00B617C4"/>
    <w:rsid w:val="00B65942"/>
    <w:rsid w:val="00B6719A"/>
    <w:rsid w:val="00B6736E"/>
    <w:rsid w:val="00B72955"/>
    <w:rsid w:val="00B72CD8"/>
    <w:rsid w:val="00B72D7E"/>
    <w:rsid w:val="00B73FB2"/>
    <w:rsid w:val="00B748F0"/>
    <w:rsid w:val="00B75A29"/>
    <w:rsid w:val="00B768DC"/>
    <w:rsid w:val="00B82F46"/>
    <w:rsid w:val="00B83899"/>
    <w:rsid w:val="00B839F5"/>
    <w:rsid w:val="00B855A5"/>
    <w:rsid w:val="00B8641D"/>
    <w:rsid w:val="00B909CE"/>
    <w:rsid w:val="00B90FCA"/>
    <w:rsid w:val="00B94EA1"/>
    <w:rsid w:val="00B95099"/>
    <w:rsid w:val="00B96B29"/>
    <w:rsid w:val="00B96CD4"/>
    <w:rsid w:val="00B97251"/>
    <w:rsid w:val="00BA12B5"/>
    <w:rsid w:val="00BA226F"/>
    <w:rsid w:val="00BA48F3"/>
    <w:rsid w:val="00BA4BCB"/>
    <w:rsid w:val="00BA4EBA"/>
    <w:rsid w:val="00BA58AA"/>
    <w:rsid w:val="00BA5B84"/>
    <w:rsid w:val="00BB1056"/>
    <w:rsid w:val="00BB168D"/>
    <w:rsid w:val="00BB2AC6"/>
    <w:rsid w:val="00BB3CC3"/>
    <w:rsid w:val="00BB63AB"/>
    <w:rsid w:val="00BB6D50"/>
    <w:rsid w:val="00BC0AF5"/>
    <w:rsid w:val="00BC1A47"/>
    <w:rsid w:val="00BC3319"/>
    <w:rsid w:val="00BC34F4"/>
    <w:rsid w:val="00BC5A1F"/>
    <w:rsid w:val="00BC760F"/>
    <w:rsid w:val="00BD0106"/>
    <w:rsid w:val="00BD09E5"/>
    <w:rsid w:val="00BD140A"/>
    <w:rsid w:val="00BD141C"/>
    <w:rsid w:val="00BD63C0"/>
    <w:rsid w:val="00BE66B3"/>
    <w:rsid w:val="00BE7B14"/>
    <w:rsid w:val="00BF0593"/>
    <w:rsid w:val="00BF1C28"/>
    <w:rsid w:val="00BF39F6"/>
    <w:rsid w:val="00BF3E84"/>
    <w:rsid w:val="00BF4D3A"/>
    <w:rsid w:val="00BF537C"/>
    <w:rsid w:val="00BF588A"/>
    <w:rsid w:val="00BF77C3"/>
    <w:rsid w:val="00C00B9F"/>
    <w:rsid w:val="00C01137"/>
    <w:rsid w:val="00C02185"/>
    <w:rsid w:val="00C021CB"/>
    <w:rsid w:val="00C04CD7"/>
    <w:rsid w:val="00C056A0"/>
    <w:rsid w:val="00C058C0"/>
    <w:rsid w:val="00C05D72"/>
    <w:rsid w:val="00C065CD"/>
    <w:rsid w:val="00C1097A"/>
    <w:rsid w:val="00C114A9"/>
    <w:rsid w:val="00C13C31"/>
    <w:rsid w:val="00C15387"/>
    <w:rsid w:val="00C15D49"/>
    <w:rsid w:val="00C21799"/>
    <w:rsid w:val="00C2202A"/>
    <w:rsid w:val="00C224EA"/>
    <w:rsid w:val="00C22EB8"/>
    <w:rsid w:val="00C2403C"/>
    <w:rsid w:val="00C24F57"/>
    <w:rsid w:val="00C257B7"/>
    <w:rsid w:val="00C272A2"/>
    <w:rsid w:val="00C273AD"/>
    <w:rsid w:val="00C30201"/>
    <w:rsid w:val="00C3027E"/>
    <w:rsid w:val="00C30634"/>
    <w:rsid w:val="00C30F0A"/>
    <w:rsid w:val="00C318E8"/>
    <w:rsid w:val="00C336CD"/>
    <w:rsid w:val="00C36A1B"/>
    <w:rsid w:val="00C4068E"/>
    <w:rsid w:val="00C4229F"/>
    <w:rsid w:val="00C43096"/>
    <w:rsid w:val="00C541E4"/>
    <w:rsid w:val="00C5464A"/>
    <w:rsid w:val="00C54CF4"/>
    <w:rsid w:val="00C56704"/>
    <w:rsid w:val="00C60B89"/>
    <w:rsid w:val="00C63A85"/>
    <w:rsid w:val="00C64753"/>
    <w:rsid w:val="00C658FE"/>
    <w:rsid w:val="00C65C4E"/>
    <w:rsid w:val="00C66A7C"/>
    <w:rsid w:val="00C674F7"/>
    <w:rsid w:val="00C706DF"/>
    <w:rsid w:val="00C71E14"/>
    <w:rsid w:val="00C72022"/>
    <w:rsid w:val="00C726A8"/>
    <w:rsid w:val="00C72DBF"/>
    <w:rsid w:val="00C7336E"/>
    <w:rsid w:val="00C7387D"/>
    <w:rsid w:val="00C74908"/>
    <w:rsid w:val="00C7739A"/>
    <w:rsid w:val="00C8079F"/>
    <w:rsid w:val="00C80C6B"/>
    <w:rsid w:val="00C80F75"/>
    <w:rsid w:val="00C81B45"/>
    <w:rsid w:val="00C83AA1"/>
    <w:rsid w:val="00C845E5"/>
    <w:rsid w:val="00C8509D"/>
    <w:rsid w:val="00C85EA0"/>
    <w:rsid w:val="00C86016"/>
    <w:rsid w:val="00C936AD"/>
    <w:rsid w:val="00C93C18"/>
    <w:rsid w:val="00C94C35"/>
    <w:rsid w:val="00C95AF6"/>
    <w:rsid w:val="00C95BA9"/>
    <w:rsid w:val="00C95BC3"/>
    <w:rsid w:val="00C96F77"/>
    <w:rsid w:val="00CA0230"/>
    <w:rsid w:val="00CA036D"/>
    <w:rsid w:val="00CA0AE2"/>
    <w:rsid w:val="00CA177C"/>
    <w:rsid w:val="00CA3209"/>
    <w:rsid w:val="00CA5E6A"/>
    <w:rsid w:val="00CA61A2"/>
    <w:rsid w:val="00CB14C2"/>
    <w:rsid w:val="00CB1F1A"/>
    <w:rsid w:val="00CB2B68"/>
    <w:rsid w:val="00CB2C01"/>
    <w:rsid w:val="00CB318A"/>
    <w:rsid w:val="00CB4226"/>
    <w:rsid w:val="00CB426C"/>
    <w:rsid w:val="00CB6D58"/>
    <w:rsid w:val="00CC2F68"/>
    <w:rsid w:val="00CC4D64"/>
    <w:rsid w:val="00CC5B04"/>
    <w:rsid w:val="00CC5EC7"/>
    <w:rsid w:val="00CD0940"/>
    <w:rsid w:val="00CD2036"/>
    <w:rsid w:val="00CD5784"/>
    <w:rsid w:val="00CE11DF"/>
    <w:rsid w:val="00CE2095"/>
    <w:rsid w:val="00CE39F9"/>
    <w:rsid w:val="00CE531E"/>
    <w:rsid w:val="00CE6185"/>
    <w:rsid w:val="00CF030B"/>
    <w:rsid w:val="00CF0D04"/>
    <w:rsid w:val="00CF190D"/>
    <w:rsid w:val="00CF1A33"/>
    <w:rsid w:val="00CF23FA"/>
    <w:rsid w:val="00CF28F3"/>
    <w:rsid w:val="00CF2D42"/>
    <w:rsid w:val="00CF4529"/>
    <w:rsid w:val="00CF5DE6"/>
    <w:rsid w:val="00CF6306"/>
    <w:rsid w:val="00CF6759"/>
    <w:rsid w:val="00CF7741"/>
    <w:rsid w:val="00D00014"/>
    <w:rsid w:val="00D01361"/>
    <w:rsid w:val="00D031D0"/>
    <w:rsid w:val="00D03CCC"/>
    <w:rsid w:val="00D065D8"/>
    <w:rsid w:val="00D07330"/>
    <w:rsid w:val="00D129C2"/>
    <w:rsid w:val="00D14707"/>
    <w:rsid w:val="00D161BD"/>
    <w:rsid w:val="00D1625B"/>
    <w:rsid w:val="00D17A27"/>
    <w:rsid w:val="00D17FEA"/>
    <w:rsid w:val="00D21F58"/>
    <w:rsid w:val="00D24600"/>
    <w:rsid w:val="00D24AB7"/>
    <w:rsid w:val="00D262E4"/>
    <w:rsid w:val="00D26F0E"/>
    <w:rsid w:val="00D27954"/>
    <w:rsid w:val="00D31FCB"/>
    <w:rsid w:val="00D333ED"/>
    <w:rsid w:val="00D336A0"/>
    <w:rsid w:val="00D340BD"/>
    <w:rsid w:val="00D34584"/>
    <w:rsid w:val="00D36AEE"/>
    <w:rsid w:val="00D41EC7"/>
    <w:rsid w:val="00D44E10"/>
    <w:rsid w:val="00D5140B"/>
    <w:rsid w:val="00D51F1C"/>
    <w:rsid w:val="00D53FE3"/>
    <w:rsid w:val="00D556FD"/>
    <w:rsid w:val="00D5624F"/>
    <w:rsid w:val="00D5648F"/>
    <w:rsid w:val="00D57E7C"/>
    <w:rsid w:val="00D615CE"/>
    <w:rsid w:val="00D62118"/>
    <w:rsid w:val="00D62698"/>
    <w:rsid w:val="00D62C43"/>
    <w:rsid w:val="00D63416"/>
    <w:rsid w:val="00D642EF"/>
    <w:rsid w:val="00D64ABC"/>
    <w:rsid w:val="00D6643D"/>
    <w:rsid w:val="00D67BA8"/>
    <w:rsid w:val="00D72221"/>
    <w:rsid w:val="00D728BF"/>
    <w:rsid w:val="00D73D9D"/>
    <w:rsid w:val="00D742D9"/>
    <w:rsid w:val="00D74AF1"/>
    <w:rsid w:val="00D74D2C"/>
    <w:rsid w:val="00D77253"/>
    <w:rsid w:val="00D804EA"/>
    <w:rsid w:val="00D80C8F"/>
    <w:rsid w:val="00D810BF"/>
    <w:rsid w:val="00D83F97"/>
    <w:rsid w:val="00D8441A"/>
    <w:rsid w:val="00D91279"/>
    <w:rsid w:val="00D919A1"/>
    <w:rsid w:val="00D91C4E"/>
    <w:rsid w:val="00D91E88"/>
    <w:rsid w:val="00D935F9"/>
    <w:rsid w:val="00D975B1"/>
    <w:rsid w:val="00D97960"/>
    <w:rsid w:val="00D97B51"/>
    <w:rsid w:val="00DA08A5"/>
    <w:rsid w:val="00DA194F"/>
    <w:rsid w:val="00DA39F2"/>
    <w:rsid w:val="00DA57F1"/>
    <w:rsid w:val="00DA5918"/>
    <w:rsid w:val="00DA5DD8"/>
    <w:rsid w:val="00DA7755"/>
    <w:rsid w:val="00DB22B2"/>
    <w:rsid w:val="00DB32F3"/>
    <w:rsid w:val="00DB5713"/>
    <w:rsid w:val="00DB7A66"/>
    <w:rsid w:val="00DC250D"/>
    <w:rsid w:val="00DC2B62"/>
    <w:rsid w:val="00DC6B54"/>
    <w:rsid w:val="00DD0DCA"/>
    <w:rsid w:val="00DD177A"/>
    <w:rsid w:val="00DD3F40"/>
    <w:rsid w:val="00DD4955"/>
    <w:rsid w:val="00DD49EE"/>
    <w:rsid w:val="00DE2FF4"/>
    <w:rsid w:val="00DE3D53"/>
    <w:rsid w:val="00DE5749"/>
    <w:rsid w:val="00DE67D1"/>
    <w:rsid w:val="00DF25B8"/>
    <w:rsid w:val="00DF3C72"/>
    <w:rsid w:val="00DF3F92"/>
    <w:rsid w:val="00DF438C"/>
    <w:rsid w:val="00DF7317"/>
    <w:rsid w:val="00DF7DF1"/>
    <w:rsid w:val="00E01554"/>
    <w:rsid w:val="00E03D4A"/>
    <w:rsid w:val="00E040AC"/>
    <w:rsid w:val="00E04443"/>
    <w:rsid w:val="00E06CEB"/>
    <w:rsid w:val="00E10872"/>
    <w:rsid w:val="00E1553C"/>
    <w:rsid w:val="00E1568D"/>
    <w:rsid w:val="00E16899"/>
    <w:rsid w:val="00E17537"/>
    <w:rsid w:val="00E17670"/>
    <w:rsid w:val="00E21C02"/>
    <w:rsid w:val="00E2268E"/>
    <w:rsid w:val="00E22D5D"/>
    <w:rsid w:val="00E23F92"/>
    <w:rsid w:val="00E242F7"/>
    <w:rsid w:val="00E26CEA"/>
    <w:rsid w:val="00E26E53"/>
    <w:rsid w:val="00E30E4D"/>
    <w:rsid w:val="00E34FEA"/>
    <w:rsid w:val="00E369B0"/>
    <w:rsid w:val="00E3796B"/>
    <w:rsid w:val="00E37C34"/>
    <w:rsid w:val="00E37FCA"/>
    <w:rsid w:val="00E40766"/>
    <w:rsid w:val="00E429FD"/>
    <w:rsid w:val="00E43466"/>
    <w:rsid w:val="00E43A93"/>
    <w:rsid w:val="00E4408A"/>
    <w:rsid w:val="00E4482D"/>
    <w:rsid w:val="00E44F94"/>
    <w:rsid w:val="00E50841"/>
    <w:rsid w:val="00E52F25"/>
    <w:rsid w:val="00E53A2D"/>
    <w:rsid w:val="00E5426B"/>
    <w:rsid w:val="00E553C9"/>
    <w:rsid w:val="00E60CDC"/>
    <w:rsid w:val="00E65F08"/>
    <w:rsid w:val="00E661B4"/>
    <w:rsid w:val="00E66807"/>
    <w:rsid w:val="00E7214A"/>
    <w:rsid w:val="00E755E2"/>
    <w:rsid w:val="00E75BFF"/>
    <w:rsid w:val="00E76010"/>
    <w:rsid w:val="00E818D1"/>
    <w:rsid w:val="00E82D24"/>
    <w:rsid w:val="00E84DDA"/>
    <w:rsid w:val="00E85B13"/>
    <w:rsid w:val="00E87B5F"/>
    <w:rsid w:val="00E87E08"/>
    <w:rsid w:val="00E900C9"/>
    <w:rsid w:val="00E909A9"/>
    <w:rsid w:val="00E909DD"/>
    <w:rsid w:val="00E972B8"/>
    <w:rsid w:val="00EA159A"/>
    <w:rsid w:val="00EA3538"/>
    <w:rsid w:val="00EA3B4E"/>
    <w:rsid w:val="00EA5730"/>
    <w:rsid w:val="00EA67F5"/>
    <w:rsid w:val="00EB0A82"/>
    <w:rsid w:val="00EB0B57"/>
    <w:rsid w:val="00EB4697"/>
    <w:rsid w:val="00EB53D5"/>
    <w:rsid w:val="00EC02A6"/>
    <w:rsid w:val="00EC0F34"/>
    <w:rsid w:val="00EC25BE"/>
    <w:rsid w:val="00EC4F06"/>
    <w:rsid w:val="00ED10CE"/>
    <w:rsid w:val="00ED173E"/>
    <w:rsid w:val="00ED1B29"/>
    <w:rsid w:val="00ED328D"/>
    <w:rsid w:val="00ED3C61"/>
    <w:rsid w:val="00ED6D1F"/>
    <w:rsid w:val="00ED7BDC"/>
    <w:rsid w:val="00EE15A4"/>
    <w:rsid w:val="00EE3238"/>
    <w:rsid w:val="00EE4ABB"/>
    <w:rsid w:val="00EE4EE0"/>
    <w:rsid w:val="00EE7D5F"/>
    <w:rsid w:val="00EF3ACA"/>
    <w:rsid w:val="00EF52CA"/>
    <w:rsid w:val="00EF58AE"/>
    <w:rsid w:val="00EF69FA"/>
    <w:rsid w:val="00F001E7"/>
    <w:rsid w:val="00F00F31"/>
    <w:rsid w:val="00F02131"/>
    <w:rsid w:val="00F02DCF"/>
    <w:rsid w:val="00F031F6"/>
    <w:rsid w:val="00F07601"/>
    <w:rsid w:val="00F103AA"/>
    <w:rsid w:val="00F10979"/>
    <w:rsid w:val="00F125D1"/>
    <w:rsid w:val="00F12AFB"/>
    <w:rsid w:val="00F135E8"/>
    <w:rsid w:val="00F15F16"/>
    <w:rsid w:val="00F168B1"/>
    <w:rsid w:val="00F17144"/>
    <w:rsid w:val="00F17B79"/>
    <w:rsid w:val="00F17BB6"/>
    <w:rsid w:val="00F23CBE"/>
    <w:rsid w:val="00F24A84"/>
    <w:rsid w:val="00F3077E"/>
    <w:rsid w:val="00F30EF1"/>
    <w:rsid w:val="00F3440D"/>
    <w:rsid w:val="00F369C3"/>
    <w:rsid w:val="00F36EAD"/>
    <w:rsid w:val="00F4213E"/>
    <w:rsid w:val="00F424B3"/>
    <w:rsid w:val="00F42E81"/>
    <w:rsid w:val="00F430C3"/>
    <w:rsid w:val="00F445F3"/>
    <w:rsid w:val="00F47222"/>
    <w:rsid w:val="00F47DDD"/>
    <w:rsid w:val="00F5667C"/>
    <w:rsid w:val="00F57D47"/>
    <w:rsid w:val="00F6006A"/>
    <w:rsid w:val="00F6066B"/>
    <w:rsid w:val="00F609AF"/>
    <w:rsid w:val="00F60DA4"/>
    <w:rsid w:val="00F61729"/>
    <w:rsid w:val="00F62450"/>
    <w:rsid w:val="00F63E50"/>
    <w:rsid w:val="00F64277"/>
    <w:rsid w:val="00F66561"/>
    <w:rsid w:val="00F71661"/>
    <w:rsid w:val="00F72CAC"/>
    <w:rsid w:val="00F7305B"/>
    <w:rsid w:val="00F74C7F"/>
    <w:rsid w:val="00F75C35"/>
    <w:rsid w:val="00F82487"/>
    <w:rsid w:val="00F8349E"/>
    <w:rsid w:val="00F839EB"/>
    <w:rsid w:val="00F83AAD"/>
    <w:rsid w:val="00F859FB"/>
    <w:rsid w:val="00F86EFE"/>
    <w:rsid w:val="00F8730D"/>
    <w:rsid w:val="00F910DD"/>
    <w:rsid w:val="00F92095"/>
    <w:rsid w:val="00F931FE"/>
    <w:rsid w:val="00F940A4"/>
    <w:rsid w:val="00F95B10"/>
    <w:rsid w:val="00F96DE2"/>
    <w:rsid w:val="00FA046C"/>
    <w:rsid w:val="00FA0BDA"/>
    <w:rsid w:val="00FA4078"/>
    <w:rsid w:val="00FA5B5E"/>
    <w:rsid w:val="00FA68EB"/>
    <w:rsid w:val="00FA7C6D"/>
    <w:rsid w:val="00FA7E1A"/>
    <w:rsid w:val="00FB3226"/>
    <w:rsid w:val="00FB43EF"/>
    <w:rsid w:val="00FB4AAE"/>
    <w:rsid w:val="00FB4B3D"/>
    <w:rsid w:val="00FB6093"/>
    <w:rsid w:val="00FC06DC"/>
    <w:rsid w:val="00FC3FB9"/>
    <w:rsid w:val="00FC45F7"/>
    <w:rsid w:val="00FC4BDA"/>
    <w:rsid w:val="00FD0544"/>
    <w:rsid w:val="00FD3D54"/>
    <w:rsid w:val="00FD462C"/>
    <w:rsid w:val="00FD480B"/>
    <w:rsid w:val="00FD53E7"/>
    <w:rsid w:val="00FD74A2"/>
    <w:rsid w:val="00FD7E41"/>
    <w:rsid w:val="00FE0370"/>
    <w:rsid w:val="00FE08C6"/>
    <w:rsid w:val="00FE2E28"/>
    <w:rsid w:val="00FE3625"/>
    <w:rsid w:val="00FE3841"/>
    <w:rsid w:val="00FE425F"/>
    <w:rsid w:val="00FE43D6"/>
    <w:rsid w:val="00FE5DE3"/>
    <w:rsid w:val="00FF012C"/>
    <w:rsid w:val="00FF24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6CA3B"/>
  <w15:chartTrackingRefBased/>
  <w15:docId w15:val="{9D9B3D21-8E3C-4BD9-B3B0-00FF9040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CD"/>
    <w:pPr>
      <w:jc w:val="both"/>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53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5333"/>
    <w:rPr>
      <w:rFonts w:ascii="Arial" w:hAnsi="Arial"/>
      <w:sz w:val="24"/>
    </w:rPr>
  </w:style>
  <w:style w:type="paragraph" w:styleId="Piedepgina">
    <w:name w:val="footer"/>
    <w:basedOn w:val="Normal"/>
    <w:link w:val="PiedepginaCar"/>
    <w:uiPriority w:val="99"/>
    <w:unhideWhenUsed/>
    <w:rsid w:val="006F53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5333"/>
    <w:rPr>
      <w:rFonts w:ascii="Arial" w:hAnsi="Arial"/>
      <w:sz w:val="24"/>
    </w:rPr>
  </w:style>
  <w:style w:type="paragraph" w:styleId="Prrafodelista">
    <w:name w:val="List Paragraph"/>
    <w:basedOn w:val="Normal"/>
    <w:uiPriority w:val="34"/>
    <w:qFormat/>
    <w:rsid w:val="00574BDA"/>
    <w:pPr>
      <w:ind w:left="720"/>
      <w:contextualSpacing/>
    </w:pPr>
  </w:style>
  <w:style w:type="paragraph" w:styleId="Textonotapie">
    <w:name w:val="footnote text"/>
    <w:basedOn w:val="Normal"/>
    <w:link w:val="TextonotapieCar"/>
    <w:uiPriority w:val="99"/>
    <w:semiHidden/>
    <w:unhideWhenUsed/>
    <w:rsid w:val="0098151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81514"/>
    <w:rPr>
      <w:rFonts w:ascii="Arial" w:hAnsi="Arial"/>
      <w:sz w:val="20"/>
      <w:szCs w:val="20"/>
    </w:rPr>
  </w:style>
  <w:style w:type="character" w:styleId="Refdenotaalpie">
    <w:name w:val="footnote reference"/>
    <w:basedOn w:val="Fuentedeprrafopredeter"/>
    <w:uiPriority w:val="99"/>
    <w:semiHidden/>
    <w:unhideWhenUsed/>
    <w:rsid w:val="00981514"/>
    <w:rPr>
      <w:vertAlign w:val="superscript"/>
    </w:rPr>
  </w:style>
  <w:style w:type="character" w:styleId="Hipervnculo">
    <w:name w:val="Hyperlink"/>
    <w:basedOn w:val="Fuentedeprrafopredeter"/>
    <w:uiPriority w:val="99"/>
    <w:unhideWhenUsed/>
    <w:rsid w:val="00981514"/>
    <w:rPr>
      <w:color w:val="0563C1" w:themeColor="hyperlink"/>
      <w:u w:val="single"/>
    </w:rPr>
  </w:style>
  <w:style w:type="character" w:styleId="Mencinsinresolver">
    <w:name w:val="Unresolved Mention"/>
    <w:basedOn w:val="Fuentedeprrafopredeter"/>
    <w:uiPriority w:val="99"/>
    <w:semiHidden/>
    <w:unhideWhenUsed/>
    <w:rsid w:val="00981514"/>
    <w:rPr>
      <w:color w:val="605E5C"/>
      <w:shd w:val="clear" w:color="auto" w:fill="E1DFDD"/>
    </w:rPr>
  </w:style>
  <w:style w:type="table" w:styleId="Tablaconcuadrcula">
    <w:name w:val="Table Grid"/>
    <w:basedOn w:val="Tablanormal"/>
    <w:uiPriority w:val="39"/>
    <w:rsid w:val="002F4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352DEE"/>
    <w:rPr>
      <w:i/>
      <w:iCs/>
    </w:rPr>
  </w:style>
  <w:style w:type="character" w:styleId="Textoennegrita">
    <w:name w:val="Strong"/>
    <w:basedOn w:val="Fuentedeprrafopredeter"/>
    <w:uiPriority w:val="22"/>
    <w:qFormat/>
    <w:rsid w:val="0039730E"/>
    <w:rPr>
      <w:b/>
      <w:bCs/>
    </w:rPr>
  </w:style>
  <w:style w:type="paragraph" w:styleId="NormalWeb">
    <w:name w:val="Normal (Web)"/>
    <w:basedOn w:val="Normal"/>
    <w:uiPriority w:val="99"/>
    <w:unhideWhenUsed/>
    <w:rsid w:val="00465B37"/>
    <w:pPr>
      <w:spacing w:before="100" w:beforeAutospacing="1" w:after="100" w:afterAutospacing="1" w:line="240" w:lineRule="auto"/>
      <w:jc w:val="left"/>
    </w:pPr>
    <w:rPr>
      <w:rFonts w:ascii="Times New Roman" w:eastAsia="Times New Roman" w:hAnsi="Times New Roman" w:cs="Times New Roman"/>
      <w:szCs w:val="24"/>
      <w:lang w:eastAsia="es-MX"/>
    </w:rPr>
  </w:style>
  <w:style w:type="character" w:styleId="Refdecomentario">
    <w:name w:val="annotation reference"/>
    <w:basedOn w:val="Fuentedeprrafopredeter"/>
    <w:uiPriority w:val="99"/>
    <w:semiHidden/>
    <w:unhideWhenUsed/>
    <w:rsid w:val="00AA0905"/>
    <w:rPr>
      <w:sz w:val="16"/>
      <w:szCs w:val="16"/>
    </w:rPr>
  </w:style>
  <w:style w:type="paragraph" w:styleId="Textocomentario">
    <w:name w:val="annotation text"/>
    <w:basedOn w:val="Normal"/>
    <w:link w:val="TextocomentarioCar"/>
    <w:uiPriority w:val="99"/>
    <w:unhideWhenUsed/>
    <w:rsid w:val="00AA0905"/>
    <w:pPr>
      <w:spacing w:line="240" w:lineRule="auto"/>
    </w:pPr>
    <w:rPr>
      <w:sz w:val="20"/>
      <w:szCs w:val="20"/>
    </w:rPr>
  </w:style>
  <w:style w:type="character" w:customStyle="1" w:styleId="TextocomentarioCar">
    <w:name w:val="Texto comentario Car"/>
    <w:basedOn w:val="Fuentedeprrafopredeter"/>
    <w:link w:val="Textocomentario"/>
    <w:uiPriority w:val="99"/>
    <w:rsid w:val="00AA0905"/>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AA0905"/>
    <w:rPr>
      <w:b/>
      <w:bCs/>
    </w:rPr>
  </w:style>
  <w:style w:type="character" w:customStyle="1" w:styleId="AsuntodelcomentarioCar">
    <w:name w:val="Asunto del comentario Car"/>
    <w:basedOn w:val="TextocomentarioCar"/>
    <w:link w:val="Asuntodelcomentario"/>
    <w:uiPriority w:val="99"/>
    <w:semiHidden/>
    <w:rsid w:val="00AA0905"/>
    <w:rPr>
      <w:rFonts w:ascii="Arial" w:hAnsi="Arial"/>
      <w:b/>
      <w:bCs/>
      <w:sz w:val="20"/>
      <w:szCs w:val="20"/>
    </w:rPr>
  </w:style>
  <w:style w:type="paragraph" w:styleId="Revisin">
    <w:name w:val="Revision"/>
    <w:hidden/>
    <w:uiPriority w:val="99"/>
    <w:semiHidden/>
    <w:rsid w:val="00A42825"/>
    <w:pPr>
      <w:spacing w:after="0" w:line="240" w:lineRule="auto"/>
    </w:pPr>
    <w:rPr>
      <w:rFonts w:ascii="Arial" w:hAnsi="Arial"/>
      <w:sz w:val="24"/>
    </w:rPr>
  </w:style>
  <w:style w:type="character" w:styleId="Hipervnculovisitado">
    <w:name w:val="FollowedHyperlink"/>
    <w:basedOn w:val="Fuentedeprrafopredeter"/>
    <w:uiPriority w:val="99"/>
    <w:semiHidden/>
    <w:unhideWhenUsed/>
    <w:rsid w:val="009029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5937">
      <w:bodyDiv w:val="1"/>
      <w:marLeft w:val="0"/>
      <w:marRight w:val="0"/>
      <w:marTop w:val="0"/>
      <w:marBottom w:val="0"/>
      <w:divBdr>
        <w:top w:val="none" w:sz="0" w:space="0" w:color="auto"/>
        <w:left w:val="none" w:sz="0" w:space="0" w:color="auto"/>
        <w:bottom w:val="none" w:sz="0" w:space="0" w:color="auto"/>
        <w:right w:val="none" w:sz="0" w:space="0" w:color="auto"/>
      </w:divBdr>
    </w:div>
    <w:div w:id="57411405">
      <w:bodyDiv w:val="1"/>
      <w:marLeft w:val="0"/>
      <w:marRight w:val="0"/>
      <w:marTop w:val="0"/>
      <w:marBottom w:val="0"/>
      <w:divBdr>
        <w:top w:val="none" w:sz="0" w:space="0" w:color="auto"/>
        <w:left w:val="none" w:sz="0" w:space="0" w:color="auto"/>
        <w:bottom w:val="none" w:sz="0" w:space="0" w:color="auto"/>
        <w:right w:val="none" w:sz="0" w:space="0" w:color="auto"/>
      </w:divBdr>
    </w:div>
    <w:div w:id="107088153">
      <w:bodyDiv w:val="1"/>
      <w:marLeft w:val="0"/>
      <w:marRight w:val="0"/>
      <w:marTop w:val="0"/>
      <w:marBottom w:val="0"/>
      <w:divBdr>
        <w:top w:val="none" w:sz="0" w:space="0" w:color="auto"/>
        <w:left w:val="none" w:sz="0" w:space="0" w:color="auto"/>
        <w:bottom w:val="none" w:sz="0" w:space="0" w:color="auto"/>
        <w:right w:val="none" w:sz="0" w:space="0" w:color="auto"/>
      </w:divBdr>
    </w:div>
    <w:div w:id="128089699">
      <w:bodyDiv w:val="1"/>
      <w:marLeft w:val="0"/>
      <w:marRight w:val="0"/>
      <w:marTop w:val="0"/>
      <w:marBottom w:val="0"/>
      <w:divBdr>
        <w:top w:val="none" w:sz="0" w:space="0" w:color="auto"/>
        <w:left w:val="none" w:sz="0" w:space="0" w:color="auto"/>
        <w:bottom w:val="none" w:sz="0" w:space="0" w:color="auto"/>
        <w:right w:val="none" w:sz="0" w:space="0" w:color="auto"/>
      </w:divBdr>
    </w:div>
    <w:div w:id="133909930">
      <w:bodyDiv w:val="1"/>
      <w:marLeft w:val="0"/>
      <w:marRight w:val="0"/>
      <w:marTop w:val="0"/>
      <w:marBottom w:val="0"/>
      <w:divBdr>
        <w:top w:val="none" w:sz="0" w:space="0" w:color="auto"/>
        <w:left w:val="none" w:sz="0" w:space="0" w:color="auto"/>
        <w:bottom w:val="none" w:sz="0" w:space="0" w:color="auto"/>
        <w:right w:val="none" w:sz="0" w:space="0" w:color="auto"/>
      </w:divBdr>
    </w:div>
    <w:div w:id="247547422">
      <w:bodyDiv w:val="1"/>
      <w:marLeft w:val="0"/>
      <w:marRight w:val="0"/>
      <w:marTop w:val="0"/>
      <w:marBottom w:val="0"/>
      <w:divBdr>
        <w:top w:val="none" w:sz="0" w:space="0" w:color="auto"/>
        <w:left w:val="none" w:sz="0" w:space="0" w:color="auto"/>
        <w:bottom w:val="none" w:sz="0" w:space="0" w:color="auto"/>
        <w:right w:val="none" w:sz="0" w:space="0" w:color="auto"/>
      </w:divBdr>
    </w:div>
    <w:div w:id="322009643">
      <w:bodyDiv w:val="1"/>
      <w:marLeft w:val="0"/>
      <w:marRight w:val="0"/>
      <w:marTop w:val="0"/>
      <w:marBottom w:val="0"/>
      <w:divBdr>
        <w:top w:val="none" w:sz="0" w:space="0" w:color="auto"/>
        <w:left w:val="none" w:sz="0" w:space="0" w:color="auto"/>
        <w:bottom w:val="none" w:sz="0" w:space="0" w:color="auto"/>
        <w:right w:val="none" w:sz="0" w:space="0" w:color="auto"/>
      </w:divBdr>
    </w:div>
    <w:div w:id="438453967">
      <w:bodyDiv w:val="1"/>
      <w:marLeft w:val="0"/>
      <w:marRight w:val="0"/>
      <w:marTop w:val="0"/>
      <w:marBottom w:val="0"/>
      <w:divBdr>
        <w:top w:val="none" w:sz="0" w:space="0" w:color="auto"/>
        <w:left w:val="none" w:sz="0" w:space="0" w:color="auto"/>
        <w:bottom w:val="none" w:sz="0" w:space="0" w:color="auto"/>
        <w:right w:val="none" w:sz="0" w:space="0" w:color="auto"/>
      </w:divBdr>
    </w:div>
    <w:div w:id="474496516">
      <w:bodyDiv w:val="1"/>
      <w:marLeft w:val="0"/>
      <w:marRight w:val="0"/>
      <w:marTop w:val="0"/>
      <w:marBottom w:val="0"/>
      <w:divBdr>
        <w:top w:val="none" w:sz="0" w:space="0" w:color="auto"/>
        <w:left w:val="none" w:sz="0" w:space="0" w:color="auto"/>
        <w:bottom w:val="none" w:sz="0" w:space="0" w:color="auto"/>
        <w:right w:val="none" w:sz="0" w:space="0" w:color="auto"/>
      </w:divBdr>
    </w:div>
    <w:div w:id="475076727">
      <w:bodyDiv w:val="1"/>
      <w:marLeft w:val="0"/>
      <w:marRight w:val="0"/>
      <w:marTop w:val="0"/>
      <w:marBottom w:val="0"/>
      <w:divBdr>
        <w:top w:val="none" w:sz="0" w:space="0" w:color="auto"/>
        <w:left w:val="none" w:sz="0" w:space="0" w:color="auto"/>
        <w:bottom w:val="none" w:sz="0" w:space="0" w:color="auto"/>
        <w:right w:val="none" w:sz="0" w:space="0" w:color="auto"/>
      </w:divBdr>
    </w:div>
    <w:div w:id="560484731">
      <w:bodyDiv w:val="1"/>
      <w:marLeft w:val="0"/>
      <w:marRight w:val="0"/>
      <w:marTop w:val="0"/>
      <w:marBottom w:val="0"/>
      <w:divBdr>
        <w:top w:val="none" w:sz="0" w:space="0" w:color="auto"/>
        <w:left w:val="none" w:sz="0" w:space="0" w:color="auto"/>
        <w:bottom w:val="none" w:sz="0" w:space="0" w:color="auto"/>
        <w:right w:val="none" w:sz="0" w:space="0" w:color="auto"/>
      </w:divBdr>
    </w:div>
    <w:div w:id="663705233">
      <w:bodyDiv w:val="1"/>
      <w:marLeft w:val="0"/>
      <w:marRight w:val="0"/>
      <w:marTop w:val="0"/>
      <w:marBottom w:val="0"/>
      <w:divBdr>
        <w:top w:val="none" w:sz="0" w:space="0" w:color="auto"/>
        <w:left w:val="none" w:sz="0" w:space="0" w:color="auto"/>
        <w:bottom w:val="none" w:sz="0" w:space="0" w:color="auto"/>
        <w:right w:val="none" w:sz="0" w:space="0" w:color="auto"/>
      </w:divBdr>
    </w:div>
    <w:div w:id="695354894">
      <w:bodyDiv w:val="1"/>
      <w:marLeft w:val="0"/>
      <w:marRight w:val="0"/>
      <w:marTop w:val="0"/>
      <w:marBottom w:val="0"/>
      <w:divBdr>
        <w:top w:val="none" w:sz="0" w:space="0" w:color="auto"/>
        <w:left w:val="none" w:sz="0" w:space="0" w:color="auto"/>
        <w:bottom w:val="none" w:sz="0" w:space="0" w:color="auto"/>
        <w:right w:val="none" w:sz="0" w:space="0" w:color="auto"/>
      </w:divBdr>
    </w:div>
    <w:div w:id="699740537">
      <w:bodyDiv w:val="1"/>
      <w:marLeft w:val="0"/>
      <w:marRight w:val="0"/>
      <w:marTop w:val="0"/>
      <w:marBottom w:val="0"/>
      <w:divBdr>
        <w:top w:val="none" w:sz="0" w:space="0" w:color="auto"/>
        <w:left w:val="none" w:sz="0" w:space="0" w:color="auto"/>
        <w:bottom w:val="none" w:sz="0" w:space="0" w:color="auto"/>
        <w:right w:val="none" w:sz="0" w:space="0" w:color="auto"/>
      </w:divBdr>
    </w:div>
    <w:div w:id="720518188">
      <w:bodyDiv w:val="1"/>
      <w:marLeft w:val="0"/>
      <w:marRight w:val="0"/>
      <w:marTop w:val="0"/>
      <w:marBottom w:val="0"/>
      <w:divBdr>
        <w:top w:val="none" w:sz="0" w:space="0" w:color="auto"/>
        <w:left w:val="none" w:sz="0" w:space="0" w:color="auto"/>
        <w:bottom w:val="none" w:sz="0" w:space="0" w:color="auto"/>
        <w:right w:val="none" w:sz="0" w:space="0" w:color="auto"/>
      </w:divBdr>
    </w:div>
    <w:div w:id="760295262">
      <w:bodyDiv w:val="1"/>
      <w:marLeft w:val="0"/>
      <w:marRight w:val="0"/>
      <w:marTop w:val="0"/>
      <w:marBottom w:val="0"/>
      <w:divBdr>
        <w:top w:val="none" w:sz="0" w:space="0" w:color="auto"/>
        <w:left w:val="none" w:sz="0" w:space="0" w:color="auto"/>
        <w:bottom w:val="none" w:sz="0" w:space="0" w:color="auto"/>
        <w:right w:val="none" w:sz="0" w:space="0" w:color="auto"/>
      </w:divBdr>
    </w:div>
    <w:div w:id="768625148">
      <w:bodyDiv w:val="1"/>
      <w:marLeft w:val="0"/>
      <w:marRight w:val="0"/>
      <w:marTop w:val="0"/>
      <w:marBottom w:val="0"/>
      <w:divBdr>
        <w:top w:val="none" w:sz="0" w:space="0" w:color="auto"/>
        <w:left w:val="none" w:sz="0" w:space="0" w:color="auto"/>
        <w:bottom w:val="none" w:sz="0" w:space="0" w:color="auto"/>
        <w:right w:val="none" w:sz="0" w:space="0" w:color="auto"/>
      </w:divBdr>
    </w:div>
    <w:div w:id="898904982">
      <w:bodyDiv w:val="1"/>
      <w:marLeft w:val="0"/>
      <w:marRight w:val="0"/>
      <w:marTop w:val="0"/>
      <w:marBottom w:val="0"/>
      <w:divBdr>
        <w:top w:val="none" w:sz="0" w:space="0" w:color="auto"/>
        <w:left w:val="none" w:sz="0" w:space="0" w:color="auto"/>
        <w:bottom w:val="none" w:sz="0" w:space="0" w:color="auto"/>
        <w:right w:val="none" w:sz="0" w:space="0" w:color="auto"/>
      </w:divBdr>
    </w:div>
    <w:div w:id="1103501542">
      <w:bodyDiv w:val="1"/>
      <w:marLeft w:val="0"/>
      <w:marRight w:val="0"/>
      <w:marTop w:val="0"/>
      <w:marBottom w:val="0"/>
      <w:divBdr>
        <w:top w:val="none" w:sz="0" w:space="0" w:color="auto"/>
        <w:left w:val="none" w:sz="0" w:space="0" w:color="auto"/>
        <w:bottom w:val="none" w:sz="0" w:space="0" w:color="auto"/>
        <w:right w:val="none" w:sz="0" w:space="0" w:color="auto"/>
      </w:divBdr>
    </w:div>
    <w:div w:id="1193420808">
      <w:bodyDiv w:val="1"/>
      <w:marLeft w:val="0"/>
      <w:marRight w:val="0"/>
      <w:marTop w:val="0"/>
      <w:marBottom w:val="0"/>
      <w:divBdr>
        <w:top w:val="none" w:sz="0" w:space="0" w:color="auto"/>
        <w:left w:val="none" w:sz="0" w:space="0" w:color="auto"/>
        <w:bottom w:val="none" w:sz="0" w:space="0" w:color="auto"/>
        <w:right w:val="none" w:sz="0" w:space="0" w:color="auto"/>
      </w:divBdr>
    </w:div>
    <w:div w:id="1265067538">
      <w:bodyDiv w:val="1"/>
      <w:marLeft w:val="0"/>
      <w:marRight w:val="0"/>
      <w:marTop w:val="0"/>
      <w:marBottom w:val="0"/>
      <w:divBdr>
        <w:top w:val="none" w:sz="0" w:space="0" w:color="auto"/>
        <w:left w:val="none" w:sz="0" w:space="0" w:color="auto"/>
        <w:bottom w:val="none" w:sz="0" w:space="0" w:color="auto"/>
        <w:right w:val="none" w:sz="0" w:space="0" w:color="auto"/>
      </w:divBdr>
    </w:div>
    <w:div w:id="1401710183">
      <w:bodyDiv w:val="1"/>
      <w:marLeft w:val="0"/>
      <w:marRight w:val="0"/>
      <w:marTop w:val="0"/>
      <w:marBottom w:val="0"/>
      <w:divBdr>
        <w:top w:val="none" w:sz="0" w:space="0" w:color="auto"/>
        <w:left w:val="none" w:sz="0" w:space="0" w:color="auto"/>
        <w:bottom w:val="none" w:sz="0" w:space="0" w:color="auto"/>
        <w:right w:val="none" w:sz="0" w:space="0" w:color="auto"/>
      </w:divBdr>
    </w:div>
    <w:div w:id="1877694675">
      <w:bodyDiv w:val="1"/>
      <w:marLeft w:val="0"/>
      <w:marRight w:val="0"/>
      <w:marTop w:val="0"/>
      <w:marBottom w:val="0"/>
      <w:divBdr>
        <w:top w:val="none" w:sz="0" w:space="0" w:color="auto"/>
        <w:left w:val="none" w:sz="0" w:space="0" w:color="auto"/>
        <w:bottom w:val="none" w:sz="0" w:space="0" w:color="auto"/>
        <w:right w:val="none" w:sz="0" w:space="0" w:color="auto"/>
      </w:divBdr>
    </w:div>
    <w:div w:id="1930918839">
      <w:bodyDiv w:val="1"/>
      <w:marLeft w:val="0"/>
      <w:marRight w:val="0"/>
      <w:marTop w:val="0"/>
      <w:marBottom w:val="0"/>
      <w:divBdr>
        <w:top w:val="none" w:sz="0" w:space="0" w:color="auto"/>
        <w:left w:val="none" w:sz="0" w:space="0" w:color="auto"/>
        <w:bottom w:val="none" w:sz="0" w:space="0" w:color="auto"/>
        <w:right w:val="none" w:sz="0" w:space="0" w:color="auto"/>
      </w:divBdr>
    </w:div>
    <w:div w:id="205469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servacion.electoral@ieepco.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bservacion.electoral@ieepco.mx"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ongresooaxaca.gob.mx/docs66.congresooaxaca.gob.mx/legislacion_estatal/Ley_para_atender_prevenir_y_eliminar_la_discriminacion_en_el_Estado_de_Oaxaca_(Dto_ref_2384__aprob_LXV_Legis_21_ago_2024_PO_37_9a_secc_14_sep_2024).pdf" TargetMode="External"/><Relationship Id="rId13" Type="http://schemas.openxmlformats.org/officeDocument/2006/relationships/hyperlink" Target="https://periodicooficial.oaxaca.gob.mx/files/2011/04/EXT13-DEC397-2011-04-15.pdf" TargetMode="External"/><Relationship Id="rId18" Type="http://schemas.openxmlformats.org/officeDocument/2006/relationships/hyperlink" Target="https://www.ine.mx/wp-content/uploads/2018/06/DECEyEC-Protocolo-Trans.pdf" TargetMode="External"/><Relationship Id="rId3" Type="http://schemas.openxmlformats.org/officeDocument/2006/relationships/hyperlink" Target="https://www.ine.mx/wp-content/uploads/2018/06/DECEyEC-Protocolo-Trans.pdf" TargetMode="External"/><Relationship Id="rId7" Type="http://schemas.openxmlformats.org/officeDocument/2006/relationships/hyperlink" Target="https://www.congresooaxaca.gob.mx/docs66.congresooaxaca.gob.mx/legislacion_estatal/LEY_DE_REVOCACION_DE_MANDATO_PARA_EL_ESTADO_DE_OAXACA(Resolucion_SCJN_25_noviembre_2025_accion_inconstitucionalidad_116_2025_118_2025_c).pdf" TargetMode="External"/><Relationship Id="rId12" Type="http://schemas.openxmlformats.org/officeDocument/2006/relationships/hyperlink" Target="https://sitios.ine.mx/archivos2/tutoriales/sistemas/ApoyoInstitucional/SNR/rsc/docs/PDF/INE_CG164_2020.pdf" TargetMode="External"/><Relationship Id="rId17" Type="http://schemas.openxmlformats.org/officeDocument/2006/relationships/hyperlink" Target="https://www.ine.mx/wp-content/uploads/2018/06/DECEyEC-Protocolo-Trans.pdf" TargetMode="External"/><Relationship Id="rId2" Type="http://schemas.openxmlformats.org/officeDocument/2006/relationships/hyperlink" Target="https://www.congresooaxaca.gob.mx/docs66.congresooaxaca.gob.mx/legislacion_estatal/Constitucion_Politica_del_Estado_Libre_y_Soberano_de_Oaxaca_(Ref_dto_753_aprob_LXVI_Legis_9_septiembre_2025_PO_Extra_10_septiembre_2025).pdf" TargetMode="External"/><Relationship Id="rId16" Type="http://schemas.openxmlformats.org/officeDocument/2006/relationships/hyperlink" Target="https://repositoriodocumental.ine.mx/xmlui/bitstream/handle/123456789/85996/CGex201609-7-ap-7.pdf" TargetMode="External"/><Relationship Id="rId1" Type="http://schemas.openxmlformats.org/officeDocument/2006/relationships/hyperlink" Target="https://www.diputados.gob.mx/LeyesBiblio/pdf/CPEUM.pdf" TargetMode="External"/><Relationship Id="rId6" Type="http://schemas.openxmlformats.org/officeDocument/2006/relationships/hyperlink" Target="https://www.congresooaxaca.gob.mx/docs66.congresooaxaca.gob.mx/legislacion_estatal/Ley_de_Instituciones_y_Procedimientos_Electorales_de_Oaxaca_(Dto_Ref_1226_aprob_LXV_Legis_4_abril_2023_PO_16_28a_secc_22_abr_2023).pdf" TargetMode="External"/><Relationship Id="rId11" Type="http://schemas.openxmlformats.org/officeDocument/2006/relationships/hyperlink" Target="https://igualdad.ine.mx/wp-content/uploads/2020/12/ctfigynd-or-201908-30-p9-a13.pdf" TargetMode="External"/><Relationship Id="rId5" Type="http://schemas.openxmlformats.org/officeDocument/2006/relationships/hyperlink" Target="https://www.diputados.gob.mx/LeyesBiblio/pdf/LGIPE.pdf" TargetMode="External"/><Relationship Id="rId15" Type="http://schemas.openxmlformats.org/officeDocument/2006/relationships/hyperlink" Target="https://www.te.gob.mx/sentenciasHTML/convertir/expediente/SUP-JDC-0220-2023-" TargetMode="External"/><Relationship Id="rId10" Type="http://schemas.openxmlformats.org/officeDocument/2006/relationships/hyperlink" Target="https://www.ine.mx/wp-content/uploads/2018/06/DECEyEC-Protocolo-Trans.pdf" TargetMode="External"/><Relationship Id="rId4" Type="http://schemas.openxmlformats.org/officeDocument/2006/relationships/hyperlink" Target="https://www.congresooaxaca.gob.mx/docs66.congresooaxaca.gob.mx/legislacion_estatal/LEY_DE_LOS_DERECHOS_DE_LAS_PERSONAS_CON_DISCAPACIDAD_EN_EL_ESTADO_DE_OAXACA_(Dto_ref_1695_aprob_LXV_Legis_31_enero_2024_PO_8_11a_secc_24_febrero_2024).pdf" TargetMode="External"/><Relationship Id="rId9" Type="http://schemas.openxmlformats.org/officeDocument/2006/relationships/hyperlink" Target="https://www.ieepco.org.mx/archivos/documentos/2025/REVOCACION/LINEAMIENTOS%20PARA%20EL%20DESARROLLO%20DE%20LA%20RM.pdf" TargetMode="External"/><Relationship Id="rId14" Type="http://schemas.openxmlformats.org/officeDocument/2006/relationships/hyperlink" Target="https://teeo.mx/images/sentencias/JDC-264-2021-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9EF77-3D55-49DF-BE7F-AB3BDA4C7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8797</Words>
  <Characters>48388</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Italy Miguel Reyes</dc:creator>
  <cp:keywords/>
  <dc:description/>
  <cp:lastModifiedBy>Ana Laura  Rojas Martínez</cp:lastModifiedBy>
  <cp:revision>2</cp:revision>
  <dcterms:created xsi:type="dcterms:W3CDTF">2025-12-23T05:41:00Z</dcterms:created>
  <dcterms:modified xsi:type="dcterms:W3CDTF">2025-12-23T05:41:00Z</dcterms:modified>
</cp:coreProperties>
</file>